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1" w:rsidRPr="00015A86" w:rsidRDefault="00991351" w:rsidP="00015A86">
      <w:pPr>
        <w:ind w:left="4962"/>
        <w:jc w:val="both"/>
        <w:rPr>
          <w:sz w:val="28"/>
          <w:szCs w:val="28"/>
        </w:rPr>
      </w:pPr>
      <w:r w:rsidRPr="00015A86">
        <w:rPr>
          <w:sz w:val="28"/>
          <w:szCs w:val="28"/>
          <w:lang w:val="uk-UA"/>
        </w:rPr>
        <w:t>Додаток 13</w:t>
      </w:r>
    </w:p>
    <w:p w:rsidR="00991351" w:rsidRPr="00015A86" w:rsidRDefault="00991351" w:rsidP="00015A86">
      <w:pPr>
        <w:ind w:left="4962"/>
        <w:jc w:val="both"/>
        <w:rPr>
          <w:color w:val="000000"/>
          <w:sz w:val="28"/>
          <w:szCs w:val="28"/>
          <w:lang w:val="uk-UA"/>
        </w:rPr>
      </w:pPr>
      <w:r w:rsidRPr="00015A86">
        <w:rPr>
          <w:color w:val="000000"/>
          <w:sz w:val="28"/>
          <w:szCs w:val="28"/>
          <w:lang w:val="uk-UA"/>
        </w:rPr>
        <w:t>до Програми</w:t>
      </w:r>
    </w:p>
    <w:p w:rsidR="00991351" w:rsidRPr="0075324C" w:rsidRDefault="00991351" w:rsidP="00EC6698">
      <w:pPr>
        <w:tabs>
          <w:tab w:val="left" w:pos="5580"/>
        </w:tabs>
        <w:ind w:left="5220"/>
        <w:jc w:val="both"/>
        <w:rPr>
          <w:sz w:val="28"/>
          <w:szCs w:val="28"/>
          <w:lang w:val="uk-UA"/>
        </w:rPr>
      </w:pPr>
    </w:p>
    <w:p w:rsidR="00991351" w:rsidRDefault="00991351" w:rsidP="00EC6698">
      <w:pPr>
        <w:tabs>
          <w:tab w:val="left" w:pos="5580"/>
        </w:tabs>
        <w:ind w:left="5220"/>
        <w:jc w:val="both"/>
        <w:rPr>
          <w:sz w:val="28"/>
          <w:szCs w:val="28"/>
          <w:lang w:val="uk-UA"/>
        </w:rPr>
      </w:pPr>
    </w:p>
    <w:p w:rsidR="00991351" w:rsidRPr="002E2327" w:rsidRDefault="00991351" w:rsidP="00EC6698">
      <w:pPr>
        <w:tabs>
          <w:tab w:val="left" w:pos="5580"/>
        </w:tabs>
        <w:ind w:left="522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991351" w:rsidRDefault="00991351" w:rsidP="00EC66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ВИКОРИСТАННЯ</w:t>
      </w:r>
    </w:p>
    <w:p w:rsidR="00991351" w:rsidRDefault="00991351" w:rsidP="00EC66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коштів міського бюджету для фінансової підтримки </w:t>
      </w:r>
    </w:p>
    <w:p w:rsidR="00991351" w:rsidRDefault="00991351" w:rsidP="00983A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забезпечення  експлуатаційної діяльності міського електричного транспорту міста Кам’янського.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Порядок використання (далі – порядок) визначає механізм використання коштів з міського бюджету за КЕКВ 2610 «Субсидії та поточні трансферти підприємствам (установам, організаціям)» (далі – бюджетні кошти).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Одержувачем бюджетних коштів, що надаються згідно з цим порядком є  комунальне п</w:t>
      </w:r>
      <w:r w:rsidRPr="00983A61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о</w:t>
      </w:r>
      <w:r w:rsidRPr="00983A61">
        <w:rPr>
          <w:sz w:val="28"/>
          <w:szCs w:val="28"/>
          <w:lang w:val="uk-UA"/>
        </w:rPr>
        <w:t xml:space="preserve"> Кам'янської міської ради «</w:t>
      </w:r>
      <w:r>
        <w:rPr>
          <w:sz w:val="28"/>
          <w:szCs w:val="28"/>
          <w:lang w:val="uk-UA"/>
        </w:rPr>
        <w:t>Транспорт</w:t>
      </w:r>
      <w:r w:rsidRPr="00983A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91351" w:rsidRDefault="00991351" w:rsidP="00EC66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Для отримання бюджетних коштів комунальне п</w:t>
      </w:r>
      <w:r w:rsidRPr="00983A61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о</w:t>
      </w:r>
      <w:r w:rsidRPr="00983A61">
        <w:rPr>
          <w:sz w:val="28"/>
          <w:szCs w:val="28"/>
          <w:lang w:val="uk-UA"/>
        </w:rPr>
        <w:t xml:space="preserve"> Кам'янської міської ради «</w:t>
      </w:r>
      <w:r>
        <w:rPr>
          <w:sz w:val="28"/>
          <w:szCs w:val="28"/>
          <w:lang w:val="uk-UA"/>
        </w:rPr>
        <w:t>Транспорт</w:t>
      </w:r>
      <w:r w:rsidRPr="00983A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раз на рік подає до управління транспортної інфраструктури та зв’язку Кам’янської міської ради заяву про надання фінансової підтримки на забезпечення експлуатаційної діяльності.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 заяви додаються: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>
        <w:rPr>
          <w:sz w:val="28"/>
          <w:szCs w:val="28"/>
          <w:lang w:val="uk-UA"/>
        </w:rPr>
        <w:tab/>
        <w:t>копія статуту (положення) підприємства (підписана керівником та засвідчена печаткою підприємства);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>
        <w:rPr>
          <w:sz w:val="28"/>
          <w:szCs w:val="28"/>
          <w:lang w:val="uk-UA"/>
        </w:rPr>
        <w:tab/>
        <w:t>витяг з Єдиного державного реєстру;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>
        <w:rPr>
          <w:sz w:val="28"/>
          <w:szCs w:val="28"/>
          <w:lang w:val="uk-UA"/>
        </w:rPr>
        <w:tab/>
        <w:t>копія довідки про взяття на облік у Державній податковій інспекції (підписана керівником та засвідчена печаткою підприємства);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>
        <w:rPr>
          <w:sz w:val="28"/>
          <w:szCs w:val="28"/>
          <w:lang w:val="uk-UA"/>
        </w:rPr>
        <w:tab/>
        <w:t>копія свідоцтва про реєстрацію платника податку на додану вартість (підписана керівником та засвідчена печаткою підприємства);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>
        <w:rPr>
          <w:sz w:val="28"/>
          <w:szCs w:val="28"/>
          <w:lang w:val="uk-UA"/>
        </w:rPr>
        <w:tab/>
        <w:t>копія річної фінансової звітності про діяльність підприємства на звітну дату (баланс з додатками), підписана керівником та засвідчена печаткою підприємства;</w:t>
      </w:r>
    </w:p>
    <w:p w:rsidR="00991351" w:rsidRDefault="00991351" w:rsidP="00211B43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копія фінансового плану підприємства, завіреного керівником засвідченого печаткою підприємства;</w:t>
      </w:r>
    </w:p>
    <w:p w:rsidR="00991351" w:rsidRDefault="00991351" w:rsidP="00211B43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   напрями використання коштів, підписані керівником та засвідчені печаткою підприємства.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Фінансування комунального п</w:t>
      </w:r>
      <w:r w:rsidRPr="00983A61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а</w:t>
      </w:r>
      <w:r w:rsidRPr="00983A61">
        <w:rPr>
          <w:sz w:val="28"/>
          <w:szCs w:val="28"/>
          <w:lang w:val="uk-UA"/>
        </w:rPr>
        <w:t xml:space="preserve"> Кам'янської міської ради «</w:t>
      </w:r>
      <w:r>
        <w:rPr>
          <w:sz w:val="28"/>
          <w:szCs w:val="28"/>
          <w:lang w:val="uk-UA"/>
        </w:rPr>
        <w:t>Транспорт</w:t>
      </w:r>
      <w:r w:rsidRPr="00983A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здійснюється згідно з Бюджетним кодексом України.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Бюджетні кошти за КЕКВ 2610 використовуються                             комунальним п</w:t>
      </w:r>
      <w:r w:rsidRPr="00983A61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ом</w:t>
      </w:r>
      <w:r w:rsidRPr="00983A61">
        <w:rPr>
          <w:sz w:val="28"/>
          <w:szCs w:val="28"/>
          <w:lang w:val="uk-UA"/>
        </w:rPr>
        <w:t xml:space="preserve"> Кам'янської міської ради «</w:t>
      </w:r>
      <w:r>
        <w:rPr>
          <w:sz w:val="28"/>
          <w:szCs w:val="28"/>
          <w:lang w:val="uk-UA"/>
        </w:rPr>
        <w:t>Транспорт</w:t>
      </w:r>
      <w:r w:rsidRPr="00983A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для: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  оплати заробітної плати;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  оплати відрахувань та нарахувань на заробітну плату;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оплати за користування в межах середніх норм споживання   комунальними послугами (водо та теплопостачання), послугами  електрозв’язку;</w:t>
      </w:r>
    </w:p>
    <w:p w:rsidR="00991351" w:rsidRDefault="00991351" w:rsidP="00EC669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оплата за постачання та послуги з розподілу електричної енергії;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оплати послуг з охорони майна.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 Комунальному п</w:t>
      </w:r>
      <w:r w:rsidRPr="00983A61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у</w:t>
      </w:r>
      <w:r w:rsidRPr="00983A61">
        <w:rPr>
          <w:sz w:val="28"/>
          <w:szCs w:val="28"/>
          <w:lang w:val="uk-UA"/>
        </w:rPr>
        <w:t xml:space="preserve"> Кам'янської міської ради «</w:t>
      </w:r>
      <w:r>
        <w:rPr>
          <w:sz w:val="28"/>
          <w:szCs w:val="28"/>
          <w:lang w:val="uk-UA"/>
        </w:rPr>
        <w:t>Транспорт</w:t>
      </w:r>
      <w:r w:rsidRPr="00983A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дозволяється використовувати бюджетні кошти лише для цілей, передбачених пунктами 5 цього Порядку.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 Розмір фінансової підтримки на забезпечення експлуатаційної діяльності, що надається комунальному п</w:t>
      </w:r>
      <w:r w:rsidRPr="00983A61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у</w:t>
      </w:r>
      <w:r w:rsidRPr="00983A61">
        <w:rPr>
          <w:sz w:val="28"/>
          <w:szCs w:val="28"/>
          <w:lang w:val="uk-UA"/>
        </w:rPr>
        <w:t xml:space="preserve"> Кам'янської міської ради «</w:t>
      </w:r>
      <w:r>
        <w:rPr>
          <w:sz w:val="28"/>
          <w:szCs w:val="28"/>
          <w:lang w:val="uk-UA"/>
        </w:rPr>
        <w:t>Транспорт</w:t>
      </w:r>
      <w:r w:rsidRPr="00983A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встановлюється в межах затверджених бюджетних призначень з урахуванням відповідного  додатка до Програми з урахуванням розрахунків та обґрунтувань, поданих підприємством.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Проведення всіх операцій з бюджетними коштами здійснюються відповідно до порядку обслуговування міського бюджету за видатками, затвердженого Державною казначейською службою України.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Складання і подання бухгалтерської та фінансової звітності здійснюється в установленому законодавством порядку.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 Відповідальність за цільове використання бюджетних коштів покладається на визначеного головного розпорядника та одержувача бюджетних коштів.</w:t>
      </w:r>
    </w:p>
    <w:p w:rsidR="00991351" w:rsidRDefault="00991351" w:rsidP="00EC6698">
      <w:pPr>
        <w:spacing w:before="120"/>
        <w:jc w:val="both"/>
        <w:rPr>
          <w:sz w:val="28"/>
          <w:szCs w:val="28"/>
          <w:lang w:val="uk-UA"/>
        </w:rPr>
      </w:pPr>
    </w:p>
    <w:p w:rsidR="00991351" w:rsidRDefault="00991351" w:rsidP="00EC6698">
      <w:pPr>
        <w:jc w:val="both"/>
        <w:rPr>
          <w:sz w:val="28"/>
          <w:szCs w:val="28"/>
          <w:lang w:val="uk-UA"/>
        </w:rPr>
      </w:pPr>
    </w:p>
    <w:p w:rsidR="00991351" w:rsidRPr="00E45AB0" w:rsidRDefault="00991351" w:rsidP="00927FF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управління</w:t>
      </w:r>
    </w:p>
    <w:p w:rsidR="00991351" w:rsidRDefault="00991351" w:rsidP="00927FF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транспортної інфраструктури</w:t>
      </w:r>
    </w:p>
    <w:p w:rsidR="00991351" w:rsidRPr="00656ECE" w:rsidRDefault="00991351" w:rsidP="00927FF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зв’язку Кам'янської міської ради                                          Д.П. Конельський</w:t>
      </w:r>
    </w:p>
    <w:p w:rsidR="00991351" w:rsidRDefault="00991351" w:rsidP="00EC6698">
      <w:pPr>
        <w:tabs>
          <w:tab w:val="left" w:pos="6150"/>
        </w:tabs>
        <w:jc w:val="both"/>
        <w:rPr>
          <w:sz w:val="28"/>
          <w:szCs w:val="28"/>
          <w:lang w:val="uk-UA"/>
        </w:rPr>
      </w:pPr>
    </w:p>
    <w:p w:rsidR="00991351" w:rsidRPr="00EC6698" w:rsidRDefault="00991351">
      <w:pPr>
        <w:rPr>
          <w:lang w:val="uk-UA"/>
        </w:rPr>
      </w:pPr>
    </w:p>
    <w:sectPr w:rsidR="00991351" w:rsidRPr="00EC6698" w:rsidSect="00927FF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98"/>
    <w:rsid w:val="00013525"/>
    <w:rsid w:val="00015A86"/>
    <w:rsid w:val="000E7004"/>
    <w:rsid w:val="001039B8"/>
    <w:rsid w:val="001E7AAB"/>
    <w:rsid w:val="0020364E"/>
    <w:rsid w:val="00211B43"/>
    <w:rsid w:val="002E2327"/>
    <w:rsid w:val="0032507B"/>
    <w:rsid w:val="004B7ED8"/>
    <w:rsid w:val="005A69A5"/>
    <w:rsid w:val="00656ECE"/>
    <w:rsid w:val="007075DB"/>
    <w:rsid w:val="0075324C"/>
    <w:rsid w:val="0086798E"/>
    <w:rsid w:val="008C6481"/>
    <w:rsid w:val="00927FFE"/>
    <w:rsid w:val="00983A61"/>
    <w:rsid w:val="00991351"/>
    <w:rsid w:val="00A8134B"/>
    <w:rsid w:val="00AA47D7"/>
    <w:rsid w:val="00B62A54"/>
    <w:rsid w:val="00BB66E4"/>
    <w:rsid w:val="00C6640C"/>
    <w:rsid w:val="00CC2C52"/>
    <w:rsid w:val="00CD186D"/>
    <w:rsid w:val="00D77A54"/>
    <w:rsid w:val="00D9103A"/>
    <w:rsid w:val="00D92598"/>
    <w:rsid w:val="00E45AB0"/>
    <w:rsid w:val="00E86992"/>
    <w:rsid w:val="00E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511</Words>
  <Characters>2917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13</dc:title>
  <dc:subject/>
  <dc:creator>Пользователь Windows</dc:creator>
  <cp:keywords/>
  <dc:description/>
  <cp:lastModifiedBy>пользователь</cp:lastModifiedBy>
  <cp:revision>2</cp:revision>
  <cp:lastPrinted>2019-04-22T10:14:00Z</cp:lastPrinted>
  <dcterms:created xsi:type="dcterms:W3CDTF">2020-01-16T13:39:00Z</dcterms:created>
  <dcterms:modified xsi:type="dcterms:W3CDTF">2020-01-16T13:39:00Z</dcterms:modified>
</cp:coreProperties>
</file>