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42" w:rsidRPr="00340442" w:rsidRDefault="00340442" w:rsidP="00340442">
      <w:pPr>
        <w:spacing w:after="0" w:line="240" w:lineRule="auto"/>
        <w:ind w:firstLine="567"/>
      </w:pPr>
    </w:p>
    <w:p w:rsidR="00340442" w:rsidRPr="00340442" w:rsidRDefault="00340442" w:rsidP="00340442">
      <w:pPr>
        <w:spacing w:after="0" w:line="240" w:lineRule="auto"/>
        <w:ind w:firstLine="567"/>
        <w:jc w:val="center"/>
      </w:pPr>
      <w:r w:rsidRPr="00340442">
        <w:rPr>
          <w:noProof/>
          <w:lang w:eastAsia="uk-UA"/>
        </w:rPr>
        <w:drawing>
          <wp:inline distT="0" distB="0" distL="0" distR="0" wp14:anchorId="2E4FF2CD" wp14:editId="4C226D7A">
            <wp:extent cx="666750" cy="914400"/>
            <wp:effectExtent l="0" t="0" r="0" b="0"/>
            <wp:docPr id="1" name="Рисунок 1" descr="C:\Users\ILCHEN~1\AppData\Local\Temp\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CHEN~1\AppData\Local\Temp\TSIG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center"/>
        <w:rPr>
          <w:b/>
        </w:rPr>
      </w:pPr>
      <w:r w:rsidRPr="00340442">
        <w:rPr>
          <w:b/>
        </w:rPr>
        <w:t>КАБІНЕТ МІНІСТРІВ УКРАЇНИ</w:t>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center"/>
        <w:rPr>
          <w:b/>
        </w:rPr>
      </w:pPr>
      <w:r w:rsidRPr="00340442">
        <w:rPr>
          <w:b/>
        </w:rPr>
        <w:t>ПОСТАНОВА</w:t>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center"/>
        <w:rPr>
          <w:b/>
        </w:rPr>
      </w:pPr>
      <w:r w:rsidRPr="00340442">
        <w:rPr>
          <w:b/>
        </w:rPr>
        <w:t>від 4 квітня 2018 р. N 237</w:t>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center"/>
        <w:rPr>
          <w:b/>
        </w:rPr>
      </w:pPr>
      <w:r w:rsidRPr="00340442">
        <w:rPr>
          <w:b/>
        </w:rPr>
        <w:t>Київ</w:t>
      </w:r>
    </w:p>
    <w:p w:rsidR="00340442" w:rsidRPr="00340442" w:rsidRDefault="00340442" w:rsidP="00340442">
      <w:pPr>
        <w:spacing w:after="0" w:line="240" w:lineRule="auto"/>
        <w:ind w:firstLine="567"/>
        <w:jc w:val="center"/>
      </w:pPr>
    </w:p>
    <w:p w:rsidR="00B46610" w:rsidRDefault="00340442" w:rsidP="00340442">
      <w:pPr>
        <w:spacing w:after="0" w:line="240" w:lineRule="auto"/>
        <w:ind w:firstLine="567"/>
        <w:jc w:val="center"/>
        <w:rPr>
          <w:b/>
        </w:rPr>
      </w:pPr>
      <w:r w:rsidRPr="00340442">
        <w:rPr>
          <w:b/>
        </w:rPr>
        <w:t xml:space="preserve">Деякі питання надання субвенції з державного бюджету місцевим бюджетам на забезпечення якісної, сучасної та доступної загальної середньої освіти </w:t>
      </w:r>
    </w:p>
    <w:p w:rsidR="00340442" w:rsidRPr="00340442" w:rsidRDefault="00340442" w:rsidP="00340442">
      <w:pPr>
        <w:spacing w:after="0" w:line="240" w:lineRule="auto"/>
        <w:ind w:firstLine="567"/>
        <w:jc w:val="center"/>
        <w:rPr>
          <w:b/>
        </w:rPr>
      </w:pPr>
      <w:bookmarkStart w:id="0" w:name="_GoBack"/>
      <w:bookmarkEnd w:id="0"/>
      <w:r w:rsidRPr="00340442">
        <w:rPr>
          <w:b/>
        </w:rPr>
        <w:t>"Нова українська школа"</w:t>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both"/>
      </w:pPr>
      <w:r w:rsidRPr="00340442">
        <w:t xml:space="preserve">Кабінет Міністрів України </w:t>
      </w:r>
      <w:r w:rsidRPr="00340442">
        <w:rPr>
          <w:b/>
        </w:rPr>
        <w:t>постановляє</w:t>
      </w:r>
      <w:r w:rsidRPr="00340442">
        <w:t>:</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 Затвердити Порядок та умови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що додається.</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2. Відповідно до частини шостої статті 108 Бюджетного кодексу України здійснити розподіл обсягу субвенції з державного бюджету місцевим бюджетам на забезпечення якісної, сучасної та доступної загальної середньої освіти "Нова українська школа" у 2018 році згідно з додатком.</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3. Обласним державним адміністраціям здійснити розподіл субвенції між обласним бюджетом, бюджетами районів, міст обласного значення та об'єднаних територіальних громад.</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4. Установити, що закупівля дидактичних матеріалів, сучасних меблів, комп'ютерного обладнання для закладів загальної середньої освіти та їх доставка здійснюється на засадах </w:t>
      </w:r>
      <w:proofErr w:type="spellStart"/>
      <w:r w:rsidRPr="00340442">
        <w:t>співфінансування</w:t>
      </w:r>
      <w:proofErr w:type="spellEnd"/>
      <w:r w:rsidRPr="00340442">
        <w:t>:</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для закладів, розташованих у містах обласного значення, не більш як 70 відсотків - за рахунок субвенції та не менш як 30 відсотків - за рахунок коштів місцевих бюджетів;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для закладів, розташованих у районах та в об'єднаних територіальних громадах, не більш як 90 відсотків - за рахунок субвенції та не менш як 10 відсотків - за рахунок коштів місцевих бюджетів;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для закладів, розташованих у селах (селищах), що мають статус гірських населених пунктів, та в населених пунктах, розташованих на лінії зіткнення, не більш </w:t>
      </w:r>
      <w:r w:rsidRPr="00340442">
        <w:lastRenderedPageBreak/>
        <w:t>як 95 відсотків - за рахунок субвенції та не менш як 5 відсотків - за рахунок коштів місцевих бюджетів.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5. Установити, що в разі необхідності закупівлі малоцінних необоротних матеріальних активів під час придбання дидактичних матеріалів, сучасних меблів, комп'ютерного обладнання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w:t>
      </w:r>
      <w:r>
        <w:t>України від 14 грудня 2016 р. N </w:t>
      </w:r>
      <w:r w:rsidRPr="00340442">
        <w:t>988 (Офіційний вісник України, 2017 р., N 1, ст. 22), кошти, визначені розподілом субвенції як видатки розвитку, можуть спрямовуватися на видатки споживання.</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6. Забезпечити:</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Міністерству освіти і науки - погодження розподілу обсягу субвенції, передбаченого пунктом 2 цієї постанови, з Комітетом Верховної Ради України з питань бюджету;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Міністерству фінансів - внесення після зазначеного погодження відповідних змін до розпису державного бюджету.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7. Ця постанова набирає чинності з дня її опуб</w:t>
      </w:r>
      <w:r>
        <w:t>лікування та застосовується з 1 </w:t>
      </w:r>
      <w:r w:rsidRPr="00340442">
        <w:t>січня 2018 року.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w:t>
      </w:r>
    </w:p>
    <w:tbl>
      <w:tblPr>
        <w:tblW w:w="18810" w:type="dxa"/>
        <w:tblInd w:w="817" w:type="dxa"/>
        <w:tblLayout w:type="fixed"/>
        <w:tblLook w:val="0000" w:firstRow="0" w:lastRow="0" w:firstColumn="0" w:lastColumn="0" w:noHBand="0" w:noVBand="0"/>
      </w:tblPr>
      <w:tblGrid>
        <w:gridCol w:w="3260"/>
        <w:gridCol w:w="15550"/>
      </w:tblGrid>
      <w:tr w:rsidR="00340442" w:rsidRPr="00340442" w:rsidTr="00340442">
        <w:tc>
          <w:tcPr>
            <w:tcW w:w="3260" w:type="dxa"/>
          </w:tcPr>
          <w:p w:rsidR="00340442" w:rsidRDefault="00340442" w:rsidP="00340442">
            <w:pPr>
              <w:spacing w:after="0" w:line="240" w:lineRule="auto"/>
              <w:rPr>
                <w:b/>
              </w:rPr>
            </w:pPr>
          </w:p>
          <w:p w:rsidR="00340442" w:rsidRPr="00340442" w:rsidRDefault="00340442" w:rsidP="00340442">
            <w:pPr>
              <w:spacing w:after="0" w:line="240" w:lineRule="auto"/>
            </w:pPr>
            <w:r w:rsidRPr="00340442">
              <w:rPr>
                <w:b/>
              </w:rPr>
              <w:t>Прем'єр-міністр України</w:t>
            </w:r>
          </w:p>
        </w:tc>
        <w:tc>
          <w:tcPr>
            <w:tcW w:w="15550" w:type="dxa"/>
          </w:tcPr>
          <w:p w:rsidR="00340442" w:rsidRPr="00340442" w:rsidRDefault="00340442" w:rsidP="00340442">
            <w:pPr>
              <w:spacing w:after="0" w:line="240" w:lineRule="auto"/>
              <w:ind w:firstLine="567"/>
              <w:jc w:val="both"/>
            </w:pPr>
          </w:p>
          <w:p w:rsidR="00340442" w:rsidRPr="00340442" w:rsidRDefault="00340442" w:rsidP="00340442">
            <w:pPr>
              <w:tabs>
                <w:tab w:val="left" w:pos="4365"/>
                <w:tab w:val="center" w:pos="8304"/>
              </w:tabs>
              <w:spacing w:after="0" w:line="240" w:lineRule="auto"/>
              <w:ind w:firstLine="567"/>
            </w:pPr>
            <w:r>
              <w:rPr>
                <w:b/>
              </w:rPr>
              <w:t xml:space="preserve">                                   </w:t>
            </w:r>
            <w:r w:rsidRPr="00340442">
              <w:rPr>
                <w:b/>
              </w:rPr>
              <w:t>В. ГРОЙСМАН</w:t>
            </w:r>
            <w:r>
              <w:rPr>
                <w:b/>
              </w:rPr>
              <w:tab/>
            </w:r>
          </w:p>
        </w:tc>
      </w:tr>
      <w:tr w:rsidR="00340442" w:rsidRPr="00340442" w:rsidTr="00340442">
        <w:tc>
          <w:tcPr>
            <w:tcW w:w="3260" w:type="dxa"/>
          </w:tcPr>
          <w:p w:rsidR="00340442" w:rsidRPr="00340442" w:rsidRDefault="00340442" w:rsidP="00340442">
            <w:pPr>
              <w:spacing w:after="0" w:line="240" w:lineRule="auto"/>
              <w:ind w:firstLine="567"/>
              <w:jc w:val="both"/>
            </w:pPr>
          </w:p>
        </w:tc>
        <w:tc>
          <w:tcPr>
            <w:tcW w:w="15550" w:type="dxa"/>
          </w:tcPr>
          <w:p w:rsidR="00340442" w:rsidRPr="00340442" w:rsidRDefault="00340442" w:rsidP="00340442">
            <w:pPr>
              <w:spacing w:after="0" w:line="240" w:lineRule="auto"/>
              <w:ind w:firstLine="567"/>
              <w:jc w:val="both"/>
            </w:pPr>
          </w:p>
        </w:tc>
      </w:tr>
    </w:tbl>
    <w:p w:rsidR="00340442" w:rsidRPr="00340442" w:rsidRDefault="00340442" w:rsidP="00340442">
      <w:pPr>
        <w:spacing w:after="0" w:line="240" w:lineRule="auto"/>
        <w:ind w:firstLine="567"/>
        <w:jc w:val="both"/>
      </w:pPr>
    </w:p>
    <w:p w:rsidR="00340442" w:rsidRPr="00340442" w:rsidRDefault="00340442" w:rsidP="00340442">
      <w:pPr>
        <w:spacing w:after="0" w:line="240" w:lineRule="auto"/>
        <w:jc w:val="both"/>
      </w:pPr>
      <w:r w:rsidRPr="00340442">
        <w:t>Інд. 73</w:t>
      </w:r>
    </w:p>
    <w:p w:rsidR="00340442" w:rsidRPr="00340442" w:rsidRDefault="00340442" w:rsidP="00340442">
      <w:pPr>
        <w:spacing w:after="0" w:line="240" w:lineRule="auto"/>
        <w:ind w:firstLine="567"/>
        <w:jc w:val="both"/>
      </w:pPr>
    </w:p>
    <w:tbl>
      <w:tblPr>
        <w:tblW w:w="9884" w:type="dxa"/>
        <w:tblLayout w:type="fixed"/>
        <w:tblLook w:val="0000" w:firstRow="0" w:lastRow="0" w:firstColumn="0" w:lastColumn="0" w:noHBand="0" w:noVBand="0"/>
      </w:tblPr>
      <w:tblGrid>
        <w:gridCol w:w="9884"/>
      </w:tblGrid>
      <w:tr w:rsidR="00340442" w:rsidRPr="00340442" w:rsidTr="00340442">
        <w:trPr>
          <w:trHeight w:val="1211"/>
        </w:trPr>
        <w:tc>
          <w:tcPr>
            <w:tcW w:w="9884" w:type="dxa"/>
          </w:tcPr>
          <w:p w:rsidR="00340442" w:rsidRPr="00340442" w:rsidRDefault="00340442" w:rsidP="00340442">
            <w:pPr>
              <w:spacing w:after="0" w:line="240" w:lineRule="auto"/>
              <w:ind w:firstLine="567"/>
              <w:jc w:val="both"/>
            </w:pPr>
            <w:r w:rsidRPr="00340442">
              <w:t> </w:t>
            </w:r>
          </w:p>
          <w:p w:rsidR="00340442" w:rsidRPr="00340442" w:rsidRDefault="00340442" w:rsidP="00340442">
            <w:pPr>
              <w:spacing w:after="0" w:line="240" w:lineRule="auto"/>
              <w:ind w:left="5103"/>
            </w:pPr>
            <w:r w:rsidRPr="00340442">
              <w:t xml:space="preserve">ЗАТВЕРДЖЕНО </w:t>
            </w:r>
          </w:p>
          <w:p w:rsidR="00340442" w:rsidRPr="00340442" w:rsidRDefault="00340442" w:rsidP="00340442">
            <w:pPr>
              <w:spacing w:after="0" w:line="240" w:lineRule="auto"/>
              <w:ind w:left="5103"/>
            </w:pPr>
            <w:r w:rsidRPr="00340442">
              <w:t xml:space="preserve">постановою Кабінету Міністрів України </w:t>
            </w:r>
          </w:p>
          <w:p w:rsidR="00340442" w:rsidRPr="00340442" w:rsidRDefault="00340442" w:rsidP="00340442">
            <w:pPr>
              <w:spacing w:after="0" w:line="240" w:lineRule="auto"/>
              <w:ind w:left="5103"/>
            </w:pPr>
            <w:r w:rsidRPr="00340442">
              <w:t>від 4 квітня 2018 р. N 237</w:t>
            </w:r>
          </w:p>
        </w:tc>
      </w:tr>
    </w:tbl>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center"/>
        <w:rPr>
          <w:b/>
        </w:rPr>
      </w:pPr>
      <w:r w:rsidRPr="00340442">
        <w:rPr>
          <w:b/>
        </w:rPr>
        <w:t>ПОРЯДОК ТА УМОВИ</w:t>
      </w:r>
    </w:p>
    <w:p w:rsidR="00340442" w:rsidRPr="00340442" w:rsidRDefault="00340442" w:rsidP="00340442">
      <w:pPr>
        <w:spacing w:after="0" w:line="240" w:lineRule="auto"/>
        <w:ind w:firstLine="567"/>
        <w:jc w:val="center"/>
        <w:rPr>
          <w:b/>
        </w:rPr>
      </w:pPr>
      <w:r w:rsidRPr="00340442">
        <w:rPr>
          <w:b/>
        </w:rPr>
        <w:t>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both"/>
      </w:pPr>
      <w:r w:rsidRPr="00340442">
        <w:t>1. Ці Порядок та умови визначають механізм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(далі - субвенція).</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2. У цих Порядку та умовах терміни вживаються в такому значенні: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lastRenderedPageBreak/>
        <w:t>тренер - особа, яка пройшла навчання для підготовки тренерів-педагогів, відповідно до переліку, затвердженого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тренер-педагог - особа, яка здійснює комплекс заходів з підвищення кваліфікації вчителів,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з навчально-виховної (навчальної, виховної) роботи у початкових класах для впровадження Державного стандарту початкової освіти та нових методик згідно з Концепцією реалізації державної політики у сфері реформування загальної середньої освіти "Нова українська школа" на період до 2029 року, відповідно до переліку, затвердженого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proofErr w:type="spellStart"/>
      <w:r w:rsidRPr="00340442">
        <w:t>супервізія</w:t>
      </w:r>
      <w:proofErr w:type="spellEnd"/>
      <w:r w:rsidRPr="00340442">
        <w:t xml:space="preserve"> щодо моніторингу якості проведених занять та наставництво - професійна підтримка, спостереження тренерів за роботою тренерів-педагогів, а тренерів-педагогів за роботою вчителів щодо засвоєння ними певних </w:t>
      </w:r>
      <w:proofErr w:type="spellStart"/>
      <w:r w:rsidRPr="00340442">
        <w:t>компетенцій</w:t>
      </w:r>
      <w:proofErr w:type="spellEnd"/>
      <w:r w:rsidRPr="00340442">
        <w:t>, виправлення помилок, що виникли у роботі.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3. Головним розпорядником субвенції є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Розпорядники субвенції за місцевими бюджетами визначаються рішеннями про такі бюджети відповідно до законодавства.</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4. Субвенція спрямовується на:</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 закупівлю дидактичних матеріалів, сучасних меблів, комп'ютерного обладнання, відповідного мультимедійного контенту для початкових класів згідно з переліком, затвердженим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2) підготовку тренерів-педагогів, підвищення кваліфікації вчителів початкової школи, які навчатимуть учнів перших класів у 2018/19 і 2019/20 навчальних роках, асистентів вчителів закладів загальної середньої освіти з інклюзивним та інтегрованим навчанням, заступників директорів закладів загальної середньої освіти з навчально-виховної (навчальної, виховної) роботи у початкових класах, вчителів іноземних мов, які навчатимуть учнів перших класів у 2018/19 навчальному році, вчителів закладів загальної середньої освіти (класів), в яких діти навчаються мовами національних меншин.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5. За рахунок субвенції за напрямом, визначеним підпунктом 2 пункту 4 цих Порядку та умов, здійснюються такі видатки:</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 оплата праці тренерів за:</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підготовку тренерів-педагогів;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підвищення кваліфікації вчителів,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з навчально-виховної (навчальної, виховної) роботи у початкових класах з метою застосовування ними в роботі принципів реалізації державної політики у сфері реформування загальної середньої освіти;</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lastRenderedPageBreak/>
        <w:t xml:space="preserve">проведення </w:t>
      </w:r>
      <w:proofErr w:type="spellStart"/>
      <w:r w:rsidRPr="00340442">
        <w:t>супервізії</w:t>
      </w:r>
      <w:proofErr w:type="spellEnd"/>
      <w:r w:rsidRPr="00340442">
        <w:t xml:space="preserve"> щодо моніторингу якості проведених занять та наставництво;</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2) оплата праці тренерів-педагогів за:</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підвищення кваліфікації вчителів,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з навчально-виховної (навчальної, виховної) роботи у початкових класах з метою застосовування ними в роботі принципів реалізації державної політики у сфері реформування загальної середньої освіти;</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проведення </w:t>
      </w:r>
      <w:proofErr w:type="spellStart"/>
      <w:r w:rsidRPr="00340442">
        <w:t>супервізії</w:t>
      </w:r>
      <w:proofErr w:type="spellEnd"/>
      <w:r w:rsidRPr="00340442">
        <w:t xml:space="preserve"> щодо моніторингу якості проведених занять та наставництво;</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3) оплата праці працівників закладів післядипломної педагогічної освіти комунальної форми власності, які залучені до підвищення кваліфікації вчителів іноземних мов, які навчатимуть учнів перших класів у 2018/19 навчальному році, та вчителів закладів загальної середньої освіти (класів), в яких діти навчаються мовами національних меншин, відповідно до програм, затверджених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4) оплата (у разі потреби) проживання, харчування та проїзду до місця відрядження і назад тренерів та тренерів-педагогів в обсягах, передбачених Інструкцією про службові відрядження в межах України та за кордон, затвердженою наказом Мінфіну від 13 березня 1998 р. N 59;</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5) придбання предметів та матеріалів для забезпечення здійснення закладами післядипломної педагогічної освіти заходів з підвищення кваліфікації для впровадження нових методик відповідно до Концепції реалізації державної політики у сфері реформування загальної середньої освіти "Нова українська школа" на період до 2029 року;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6) придбання предметів та матеріалів для забезпечення здійснення закладами післядипломної педагогічної освіти заходів з підвищення кваліфікації вчителів закладів загальної середньої освіти (класів), в яких діти навчаються мовами національних меншин;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7) підготовка, видання та апробування навчальних матеріалів для початкових класів закладів загальної середньої освіти згідно з Державним стандартом початкової освіти та нових методик відповідно до Концепції реалізації державної політики у сфері реформування загальної середньої освіти "Нова українська школа" на період до 2029 року;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8) підготовка, видання та апробування навчальних матеріалів для закладів загальної середньої освіти (класів), в яких діти навчаються мовами національних меншин, відповідно до програм та методик, погоджених з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9) здійснення (у разі потреби) витрат на відрядження вчителів,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для підвищення кваліфікації.</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6. Видатки, визначені підпунктами 1 - 8 пункту 5 цих Порядку та умов, здійснюються закладами післядипломної педагогічної освіти комунальної форми власності.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Видатки, визначені підпунктом 9 пункту 5 цих Порядку та умов, здійснюються закладами освіти, що направляють педагогічних працівників для підвищення кваліфікації.</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7. Оплата праці, проживання, харчування і проїзду тренерів, тренерів-педагогів та оплата праці працівників закладів післядипломної педагогічної освіти комунальної форми власності, які залучені до підвищення кваліфікації вчителів іноземних мов, які навчатимуть учнів перших класів у 2018/19 навчальному році, та вчителів закладів загальної середньої освіти (класів), в яких діти навчаються мовами національних меншин, здійснюється на підставі актів виконаних робіт у порядку, визначеному у договорі підряду, що укладається між тренером, тренером-педагогом, працівником закладу післядипломної педагогічної освіти комунальної форми власності, який залучений до підвищення кваліфікації вчителів іноземних мов, які навчатимуть учнів перших класів у 2018/19 навчальному році, та вчителів закладів загальної середньої освіти (класів), в яких діти навчаються мовами національних меншин, та керівником закладу післядипломної педагогічної освіти комунальної форми власності.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8. Оплата праці тренерів, тренерів-педагогів, працівників закладів післядипломної педагогічної освіти комунальної форми власності, які залучені до підвищення кваліфікації вчителів іноземних мов, які навчатимуть учнів перших класів у 2018/19 навчальному році, та вчителів закладів загальної середньої освіти (класів), в яких діти навчаються мовами національних меншин, здійснюється за ставками погодинної оплати у розмірах, передбачених для доцента або кандидата наук, за проведення навчальних занять із слухачами курсів, визначеними у додатку 5 до постанови Кабінету Міністрів України від 30 серпня 2002 р. N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N 36, ст. 1699).</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9. Кількість занять (тренінгів) з підготовки тренерів-педагогів та занять (тренінгів) з підвищення кваліфікації вчителів, асистентів вчителів закладів загальної середньої освіти з інклюзивним та інтегрованим навчанням та заступників директорів з навчально-виховної (навчальної, виховної) роботи закладів загальної середньої освіти для впровадження Державного стандарту початкової освіти та нових методик визначається МОН.</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10. Підвищення кваліфікації вчителів закладів загальної середньої освіти (класів), в яких діти навчаються мовами національних меншин (крім вчителів початкової школи), здійснюється в окремих групах.</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11. Не допускається спрямування субвенції на:</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закупівлю товарів, робіт і послуг, які безпосередньо не пов'язані із здійсненням видатків, зазначених у пунктах 4 і 5 цих Порядку та умов;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lastRenderedPageBreak/>
        <w:t>оплату посередницьких послуг;</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здійснення заходів, метою яких є отримання прибутку.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12. Відповідні місцеві ради мають право передавати субвенцію як міжбюджетний трансферт іншим місцевим бюджетам.</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13. Казначейство перераховує щомісяця до 10 числа субвенцію на рахунки обласних бюджетів та бюджету м. Києва, відкриті в органах Казначейства, згідно з розписом державного бюджету відповідно до Порядку перерахування міжбюджетних трансфертів, затвердженого постановою Кабінету Міністрів України від 15 грудня 2010 р. N 1132 (Офіційний вісник України, 2010 р., N 96, ст. 3399; 2015 р., N 7, </w:t>
      </w:r>
      <w:proofErr w:type="spellStart"/>
      <w:r w:rsidRPr="00340442">
        <w:t>ст.</w:t>
      </w:r>
      <w:proofErr w:type="spellEnd"/>
      <w:r>
        <w:t> </w:t>
      </w:r>
      <w:r w:rsidRPr="00340442">
        <w:t>161).</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Облдержадміністрації здійснюють розподіл субвенції між обласним бюджетом, бюджетами районів, міст обласного значення та об'єднаних територіальних громад з урахуванням таких критеріїв: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за напрямом, визначеним підпунктом 1 пункту 4 цих Порядку та умов: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- 40 відсотків - на закупівлю дидактичних матеріалів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на період до 2029 року. Розподіл субвенції між відповідними місцевими бюджетами здійснюється з урахуванням кількості класів початкової школи (1 - 4 класи закладів загальної середньої освіти) в адміністративно-територіальній одиниці;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- 40 відсотків - на закупівлю сучасних меблів для початкових класів нової української школи. Розподіл субвенції між відповідними місцевими бюджетами здійснюється з урахуванням кількості учнів 1 - 4 класів закладів загальної середньої освіти в адміністративно-територіальній одиниці;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- 20 відсотків - на закупівлю комп'ютерного обладнання, відповідного мультимедійного контенту для початкових класів нової української школи. Розподіл субвенції між відповідними місцевими бюджетами здійснюється з урахуванням кількості закладів, у яких є початкова школа (1 - 4 класи закладів загальної середньої освіти), в адміністративно-територіальній одиниці;</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за напрямом, визначеним підпунктом 2 пункту 4 цих Порядку та умов: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не менше 60 відсотків (обласні бюджети) - на здійснення видатків, визначених підпунктами 1 - 4 пункту 5 цих Порядку та умов;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не більше 30 відсотків (обласні бюджети) - на здійснення видатків, визначених підпунктами 5 - 8 пункту 5 цих Порядку та умов;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 не більше 10 відсотків - на здійснення видатків, визначених підпунктом 9 пункту 5 цих Порядку та умов. Розподіл субвенції між відповідними місцевими бюджетами здійснюється пропорційно до кількості вчителів, асистентів вчителів </w:t>
      </w:r>
      <w:r w:rsidRPr="00340442">
        <w:lastRenderedPageBreak/>
        <w:t>початкових класів закладів загальної середньої освіти з інклюзивним та інтегрованим навчанням та заступників директорів з навчально-виховної (навчальної, виховної) роботи закладів загальної середньої освіти, що підвищують кваліфікацію.</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14. Органи Казначейства перераховують щомісяця до 25 числа на підставі платіжних документів, підготовлених обласними та Київською міською держадміністраціями, субвенцію на рахунки районних бюджетів, </w:t>
      </w:r>
      <w:proofErr w:type="spellStart"/>
      <w:r w:rsidRPr="00340442">
        <w:t>бюджетів</w:t>
      </w:r>
      <w:proofErr w:type="spellEnd"/>
      <w:r w:rsidRPr="00340442">
        <w:t xml:space="preserve"> міст обласного значення та об'єднаних територіальних громад, відкриті в таких органах.</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15. Закупівля товарів, робіт і послуг за рахунок субвенції здійснюється в установленому законом порядку.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 xml:space="preserve">Попередня оплата товарів, робіт і послуг, що </w:t>
      </w:r>
      <w:proofErr w:type="spellStart"/>
      <w:r w:rsidRPr="00340442">
        <w:t>закуповуються</w:t>
      </w:r>
      <w:proofErr w:type="spellEnd"/>
      <w:r w:rsidRPr="00340442">
        <w:t xml:space="preserve"> за рахунок субвенції, здійснюється відповідно до постанови Кабінету Міністрів України від 23 квітня 2014 р. N 117 "Про здійснення попередньої оплати товарів, робіт і послуг, що </w:t>
      </w:r>
      <w:proofErr w:type="spellStart"/>
      <w:r w:rsidRPr="00340442">
        <w:t>закуповуються</w:t>
      </w:r>
      <w:proofErr w:type="spellEnd"/>
      <w:r w:rsidRPr="00340442">
        <w:t xml:space="preserve"> за бюджетні кошти" (Офіційний віс</w:t>
      </w:r>
      <w:r>
        <w:t xml:space="preserve">ник України, 2014 р., N 34, </w:t>
      </w:r>
      <w:proofErr w:type="spellStart"/>
      <w:r>
        <w:t>ст.</w:t>
      </w:r>
      <w:proofErr w:type="spellEnd"/>
      <w:r>
        <w:t> </w:t>
      </w:r>
      <w:r w:rsidRPr="00340442">
        <w:t>916).</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16. Казначейство інформує щомісяця до 15 числа Мінфін та МОН про обсяги перерахування субвенції за попередній місяць у розрізі місцевих бюджетів.</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17. 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облік бюджетних зобов'язань в органах Казначейства та операції, пов'язані з використанням субвенції, здійснюються в установленому законодавством порядку.</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18. Обласні та Київська міська держадмініс</w:t>
      </w:r>
      <w:r>
        <w:t>трації подають щокварталу до 10 </w:t>
      </w:r>
      <w:r w:rsidRPr="00340442">
        <w:t>числа наступного місяця МОН інформацію про використання субвенції.</w:t>
      </w: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r w:rsidRPr="00340442">
        <w:t>19. Складення і подання фінансової та бюджетної звітності про використання субвенції, а також контроль за її цільовим використанням здійснюються в установленому законодавством порядку.</w:t>
      </w:r>
    </w:p>
    <w:p w:rsidR="00340442" w:rsidRPr="00340442" w:rsidRDefault="00340442" w:rsidP="00340442">
      <w:pPr>
        <w:spacing w:after="0" w:line="240" w:lineRule="auto"/>
        <w:ind w:firstLine="567"/>
        <w:jc w:val="both"/>
      </w:pPr>
    </w:p>
    <w:p w:rsidR="00340442" w:rsidRDefault="00340442"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Default="000C6024" w:rsidP="000C6024">
      <w:pPr>
        <w:spacing w:after="0" w:line="240" w:lineRule="auto"/>
        <w:jc w:val="both"/>
      </w:pPr>
    </w:p>
    <w:p w:rsidR="000C6024" w:rsidRPr="00340442" w:rsidRDefault="000C6024" w:rsidP="000C6024">
      <w:pPr>
        <w:spacing w:after="0" w:line="240" w:lineRule="auto"/>
        <w:jc w:val="both"/>
      </w:pPr>
    </w:p>
    <w:tbl>
      <w:tblPr>
        <w:tblW w:w="10031" w:type="dxa"/>
        <w:tblLayout w:type="fixed"/>
        <w:tblLook w:val="0000" w:firstRow="0" w:lastRow="0" w:firstColumn="0" w:lastColumn="0" w:noHBand="0" w:noVBand="0"/>
      </w:tblPr>
      <w:tblGrid>
        <w:gridCol w:w="10031"/>
      </w:tblGrid>
      <w:tr w:rsidR="00340442" w:rsidRPr="00340442" w:rsidTr="00340442">
        <w:tc>
          <w:tcPr>
            <w:tcW w:w="10031" w:type="dxa"/>
          </w:tcPr>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left="5103"/>
            </w:pPr>
            <w:r w:rsidRPr="00340442">
              <w:t xml:space="preserve">Додаток </w:t>
            </w:r>
          </w:p>
          <w:p w:rsidR="00340442" w:rsidRPr="00340442" w:rsidRDefault="00340442" w:rsidP="00340442">
            <w:pPr>
              <w:spacing w:after="0" w:line="240" w:lineRule="auto"/>
              <w:ind w:left="5103"/>
            </w:pPr>
            <w:r w:rsidRPr="00340442">
              <w:t xml:space="preserve">до постанови Кабінету Міністрів України </w:t>
            </w:r>
          </w:p>
          <w:p w:rsidR="00340442" w:rsidRPr="00340442" w:rsidRDefault="00340442" w:rsidP="00340442">
            <w:pPr>
              <w:spacing w:after="0" w:line="240" w:lineRule="auto"/>
              <w:ind w:left="5103"/>
            </w:pPr>
            <w:r w:rsidRPr="00340442">
              <w:t>від 4 квітня 2018 р. N 237</w:t>
            </w:r>
          </w:p>
        </w:tc>
      </w:tr>
    </w:tbl>
    <w:p w:rsidR="00340442" w:rsidRDefault="00340442" w:rsidP="00340442">
      <w:pPr>
        <w:spacing w:after="0" w:line="240" w:lineRule="auto"/>
        <w:ind w:firstLine="567"/>
        <w:jc w:val="both"/>
      </w:pPr>
    </w:p>
    <w:p w:rsidR="00340442" w:rsidRPr="00340442" w:rsidRDefault="00340442" w:rsidP="00340442">
      <w:pPr>
        <w:spacing w:after="0" w:line="240" w:lineRule="auto"/>
        <w:ind w:firstLine="567"/>
        <w:jc w:val="both"/>
      </w:pPr>
    </w:p>
    <w:p w:rsidR="00340442" w:rsidRPr="00340442" w:rsidRDefault="00340442" w:rsidP="00340442">
      <w:pPr>
        <w:spacing w:after="0" w:line="240" w:lineRule="auto"/>
        <w:ind w:firstLine="567"/>
        <w:jc w:val="center"/>
        <w:rPr>
          <w:b/>
        </w:rPr>
      </w:pPr>
      <w:r w:rsidRPr="00340442">
        <w:rPr>
          <w:b/>
        </w:rPr>
        <w:t>РОЗПОДІЛ</w:t>
      </w:r>
    </w:p>
    <w:p w:rsidR="00340442" w:rsidRDefault="00340442" w:rsidP="00340442">
      <w:pPr>
        <w:spacing w:after="0" w:line="240" w:lineRule="auto"/>
        <w:ind w:firstLine="567"/>
        <w:jc w:val="center"/>
        <w:rPr>
          <w:b/>
        </w:rPr>
      </w:pPr>
      <w:r w:rsidRPr="00340442">
        <w:rPr>
          <w:b/>
        </w:rPr>
        <w:t xml:space="preserve">обсягу субвенції з державного бюджету місцевим бюджетам на забезпечення якісної, сучасної та доступної загальної середньої освіти </w:t>
      </w:r>
    </w:p>
    <w:p w:rsidR="00340442" w:rsidRDefault="00340442" w:rsidP="00340442">
      <w:pPr>
        <w:spacing w:after="0" w:line="240" w:lineRule="auto"/>
        <w:ind w:firstLine="567"/>
        <w:jc w:val="center"/>
        <w:rPr>
          <w:b/>
        </w:rPr>
      </w:pPr>
      <w:r w:rsidRPr="00340442">
        <w:rPr>
          <w:b/>
        </w:rPr>
        <w:t>"Нова українська школа" у 2018 році</w:t>
      </w:r>
    </w:p>
    <w:p w:rsidR="00340442" w:rsidRPr="00340442" w:rsidRDefault="00340442" w:rsidP="00340442">
      <w:pPr>
        <w:spacing w:after="0" w:line="240" w:lineRule="auto"/>
        <w:ind w:firstLine="567"/>
        <w:jc w:val="center"/>
        <w:rPr>
          <w:b/>
        </w:rPr>
      </w:pPr>
    </w:p>
    <w:p w:rsidR="00340442" w:rsidRDefault="00340442" w:rsidP="00340442">
      <w:pPr>
        <w:spacing w:after="0" w:line="240" w:lineRule="auto"/>
        <w:ind w:firstLine="567"/>
        <w:jc w:val="right"/>
      </w:pPr>
      <w:r w:rsidRPr="00340442">
        <w:t>тис. гривень</w:t>
      </w:r>
    </w:p>
    <w:p w:rsidR="00340442" w:rsidRPr="00340442" w:rsidRDefault="00340442" w:rsidP="00340442">
      <w:pPr>
        <w:spacing w:after="0" w:line="240" w:lineRule="auto"/>
        <w:ind w:firstLine="567"/>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02"/>
        <w:gridCol w:w="1701"/>
        <w:gridCol w:w="2693"/>
      </w:tblGrid>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Код бюджету</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Назва місцевого бюджету</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Закупівля дидактичних матеріалів, сучасних меблів, комп'ютерного обладнання, відповідного мультимедійного контенту для початкових класів згідно з переліком, затвердженим МОН (видатки розвитку)</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Підготовка тренерів-педагогів, підвищення кваліфікації вчителів початкової школи, які навчатимуть учнів перших класів у 2018/19 і 2019/20 навчальних роках, асистентів вчителів закладів загальної середньої освіти з інклюзивним та інтегрованим навчанням, заступників директорів закладів загальної середньої освіти з навчально-виховної (навчальної, виховної) роботи у початкових класах, вчителів іноземних мов, які навчатимуть учнів перших класів у 2018/19 навчальному році, вчителів закладів загальної середньої освіти (класів), в яких діти навчаються мовами національних меншин (видатки споживання)</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02100000000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Вінницької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45846,8</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17235,9</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03100000000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Волинської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37792,5</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15934,6</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04100000000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Дніпропетровської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72429,1</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24183,7</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05100000000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Донецької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38019,3</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13126,8</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06100000000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Житомирської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37420,7</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14417,8</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07100000000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Закарпатської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42901,1</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17761,8</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08100000000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Запорізької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38360,9</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13471,5</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09100000000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Івано-Франківської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41101</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15423,7</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10100000000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Київської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51103,7</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17551,3</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11100000000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Кіровоградської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24743</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10060,8</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12100000000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Луганської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15157,6</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5608,7</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13100000000</w:t>
            </w:r>
          </w:p>
        </w:tc>
        <w:tc>
          <w:tcPr>
            <w:tcW w:w="3402" w:type="dxa"/>
          </w:tcPr>
          <w:p w:rsidR="00340442" w:rsidRPr="00340442" w:rsidRDefault="00340442" w:rsidP="00340442">
            <w:pPr>
              <w:spacing w:after="0" w:line="240" w:lineRule="auto"/>
              <w:ind w:left="-250" w:firstLine="567"/>
              <w:jc w:val="right"/>
            </w:pPr>
          </w:p>
          <w:p w:rsidR="00340442" w:rsidRPr="00340442" w:rsidRDefault="00340442" w:rsidP="00340442">
            <w:pPr>
              <w:spacing w:after="0" w:line="240" w:lineRule="auto"/>
              <w:ind w:firstLine="567"/>
            </w:pPr>
            <w:r w:rsidRPr="00340442">
              <w:t>Обласний бюджет Львівської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70916,3</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28528,8</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14100000000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Миколаївської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29710,3</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10201,2</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15100000000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Одеської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60090,1</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20806,1</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16100000000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Полтавської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35655,5</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12781,2</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17100000000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Рівненської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40726,7</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17451,5</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18100000000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Сумської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25224,8</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9583,4</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19100000000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 xml:space="preserve">Обласний бюджет </w:t>
            </w:r>
            <w:r w:rsidRPr="00340442">
              <w:lastRenderedPageBreak/>
              <w:t>Тернопільської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34510,7</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15080,4</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Default="00340442" w:rsidP="00340442">
            <w:pPr>
              <w:spacing w:after="0" w:line="240" w:lineRule="auto"/>
              <w:ind w:firstLine="567"/>
              <w:jc w:val="center"/>
            </w:pPr>
          </w:p>
          <w:p w:rsidR="00340442" w:rsidRPr="00340442" w:rsidRDefault="00340442" w:rsidP="00340442">
            <w:pPr>
              <w:spacing w:after="0" w:line="240" w:lineRule="auto"/>
              <w:ind w:firstLine="567"/>
              <w:jc w:val="center"/>
            </w:pPr>
            <w:r w:rsidRPr="00340442">
              <w:t>20100000000</w:t>
            </w:r>
          </w:p>
        </w:tc>
        <w:tc>
          <w:tcPr>
            <w:tcW w:w="3402" w:type="dxa"/>
          </w:tcPr>
          <w:p w:rsidR="00340442" w:rsidRPr="00340442" w:rsidRDefault="00340442" w:rsidP="00340442">
            <w:pPr>
              <w:spacing w:after="0" w:line="240" w:lineRule="auto"/>
              <w:ind w:firstLine="567"/>
              <w:jc w:val="right"/>
            </w:pPr>
          </w:p>
          <w:p w:rsidR="00340442" w:rsidRDefault="00340442" w:rsidP="00340442">
            <w:pPr>
              <w:spacing w:after="0" w:line="240" w:lineRule="auto"/>
              <w:ind w:firstLine="567"/>
            </w:pPr>
          </w:p>
          <w:p w:rsidR="00340442" w:rsidRPr="00340442" w:rsidRDefault="00340442" w:rsidP="00340442">
            <w:pPr>
              <w:spacing w:after="0" w:line="240" w:lineRule="auto"/>
              <w:ind w:firstLine="567"/>
            </w:pPr>
            <w:r w:rsidRPr="00340442">
              <w:t>Обласний бюджет Харківської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54772,3</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18492,1</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21100000000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Херсонської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27582</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9820,9</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22100000000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Хмельницької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37595,3</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15302,3</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23100000000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Черкаської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31750,6</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11845,5</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24100000000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Чернівецької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25884,9</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9824,5</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25100000000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Обласний бюджет Чернігівської області</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26164,7</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9560</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26000000000</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Бюджет м. Києва</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53320,1</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16252,3</w:t>
            </w:r>
          </w:p>
        </w:tc>
      </w:tr>
      <w:tr w:rsidR="00340442" w:rsidRPr="00340442" w:rsidTr="00340442">
        <w:tc>
          <w:tcPr>
            <w:tcW w:w="2235"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 </w:t>
            </w:r>
          </w:p>
        </w:tc>
        <w:tc>
          <w:tcPr>
            <w:tcW w:w="3402"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pPr>
            <w:r w:rsidRPr="00340442">
              <w:t>Разом</w:t>
            </w:r>
          </w:p>
        </w:tc>
        <w:tc>
          <w:tcPr>
            <w:tcW w:w="1701"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998780</w:t>
            </w:r>
          </w:p>
        </w:tc>
        <w:tc>
          <w:tcPr>
            <w:tcW w:w="2693" w:type="dxa"/>
          </w:tcPr>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370306,8</w:t>
            </w:r>
          </w:p>
        </w:tc>
      </w:tr>
    </w:tbl>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right"/>
      </w:pPr>
    </w:p>
    <w:p w:rsidR="00340442" w:rsidRPr="00340442" w:rsidRDefault="00340442" w:rsidP="00340442">
      <w:pPr>
        <w:spacing w:after="0" w:line="240" w:lineRule="auto"/>
        <w:ind w:firstLine="567"/>
        <w:jc w:val="center"/>
      </w:pPr>
      <w:r w:rsidRPr="00340442">
        <w:t>____________</w:t>
      </w:r>
    </w:p>
    <w:p w:rsidR="00340442" w:rsidRPr="00340442" w:rsidRDefault="00340442" w:rsidP="00340442">
      <w:pPr>
        <w:spacing w:after="0" w:line="240" w:lineRule="auto"/>
        <w:ind w:firstLine="567"/>
        <w:jc w:val="center"/>
      </w:pPr>
    </w:p>
    <w:p w:rsidR="00340442" w:rsidRPr="00340442" w:rsidRDefault="00340442" w:rsidP="00340442">
      <w:pPr>
        <w:spacing w:after="0" w:line="240" w:lineRule="auto"/>
        <w:ind w:firstLine="567"/>
        <w:jc w:val="both"/>
      </w:pPr>
      <w:r w:rsidRPr="00340442">
        <w:t> </w:t>
      </w:r>
    </w:p>
    <w:p w:rsidR="00340442" w:rsidRPr="00340442" w:rsidRDefault="00340442" w:rsidP="00340442">
      <w:pPr>
        <w:spacing w:after="0" w:line="240" w:lineRule="auto"/>
        <w:ind w:firstLine="567"/>
        <w:jc w:val="both"/>
        <w:rPr>
          <w:i/>
        </w:rPr>
      </w:pPr>
    </w:p>
    <w:p w:rsidR="00775E78" w:rsidRPr="00340442" w:rsidRDefault="00775E78" w:rsidP="00340442">
      <w:pPr>
        <w:spacing w:after="0" w:line="240" w:lineRule="auto"/>
        <w:ind w:firstLine="567"/>
      </w:pPr>
    </w:p>
    <w:sectPr w:rsidR="00775E78" w:rsidRPr="0034044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37" w:rsidRDefault="00BD7337" w:rsidP="00340442">
      <w:pPr>
        <w:spacing w:after="0" w:line="240" w:lineRule="auto"/>
      </w:pPr>
      <w:r>
        <w:separator/>
      </w:r>
    </w:p>
  </w:endnote>
  <w:endnote w:type="continuationSeparator" w:id="0">
    <w:p w:rsidR="00BD7337" w:rsidRDefault="00BD7337" w:rsidP="0034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37" w:rsidRDefault="00BD7337" w:rsidP="00340442">
      <w:pPr>
        <w:spacing w:after="0" w:line="240" w:lineRule="auto"/>
      </w:pPr>
      <w:r>
        <w:separator/>
      </w:r>
    </w:p>
  </w:footnote>
  <w:footnote w:type="continuationSeparator" w:id="0">
    <w:p w:rsidR="00BD7337" w:rsidRDefault="00BD7337" w:rsidP="00340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42"/>
    <w:rsid w:val="000C6024"/>
    <w:rsid w:val="00340442"/>
    <w:rsid w:val="00775E78"/>
    <w:rsid w:val="00861ECB"/>
    <w:rsid w:val="00A3359E"/>
    <w:rsid w:val="00AF6209"/>
    <w:rsid w:val="00B46610"/>
    <w:rsid w:val="00B723E0"/>
    <w:rsid w:val="00BD7337"/>
    <w:rsid w:val="00D4345B"/>
    <w:rsid w:val="00E35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044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40442"/>
  </w:style>
  <w:style w:type="paragraph" w:styleId="a5">
    <w:name w:val="Balloon Text"/>
    <w:basedOn w:val="a"/>
    <w:link w:val="a6"/>
    <w:uiPriority w:val="99"/>
    <w:semiHidden/>
    <w:unhideWhenUsed/>
    <w:rsid w:val="003404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442"/>
    <w:rPr>
      <w:rFonts w:ascii="Tahoma" w:hAnsi="Tahoma" w:cs="Tahoma"/>
      <w:sz w:val="16"/>
      <w:szCs w:val="16"/>
    </w:rPr>
  </w:style>
  <w:style w:type="paragraph" w:styleId="a7">
    <w:name w:val="header"/>
    <w:basedOn w:val="a"/>
    <w:link w:val="a8"/>
    <w:uiPriority w:val="99"/>
    <w:unhideWhenUsed/>
    <w:rsid w:val="0034044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40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044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40442"/>
  </w:style>
  <w:style w:type="paragraph" w:styleId="a5">
    <w:name w:val="Balloon Text"/>
    <w:basedOn w:val="a"/>
    <w:link w:val="a6"/>
    <w:uiPriority w:val="99"/>
    <w:semiHidden/>
    <w:unhideWhenUsed/>
    <w:rsid w:val="003404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442"/>
    <w:rPr>
      <w:rFonts w:ascii="Tahoma" w:hAnsi="Tahoma" w:cs="Tahoma"/>
      <w:sz w:val="16"/>
      <w:szCs w:val="16"/>
    </w:rPr>
  </w:style>
  <w:style w:type="paragraph" w:styleId="a7">
    <w:name w:val="header"/>
    <w:basedOn w:val="a"/>
    <w:link w:val="a8"/>
    <w:uiPriority w:val="99"/>
    <w:unhideWhenUsed/>
    <w:rsid w:val="0034044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4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11855</Words>
  <Characters>6758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2018-09-07T11:43:00Z</cp:lastPrinted>
  <dcterms:created xsi:type="dcterms:W3CDTF">2018-09-07T11:17:00Z</dcterms:created>
  <dcterms:modified xsi:type="dcterms:W3CDTF">2018-09-07T12:41:00Z</dcterms:modified>
</cp:coreProperties>
</file>