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09" w:rsidRDefault="00447409" w:rsidP="00447409">
      <w:pPr>
        <w:autoSpaceDE w:val="0"/>
        <w:autoSpaceDN w:val="0"/>
        <w:adjustRightInd w:val="0"/>
        <w:spacing w:before="120" w:after="0" w:line="240" w:lineRule="auto"/>
        <w:jc w:val="center"/>
        <w:rPr>
          <w:rFonts w:ascii="Tms Rmn" w:hAnsi="Tms Rmn"/>
          <w:sz w:val="24"/>
          <w:szCs w:val="24"/>
        </w:rPr>
      </w:pPr>
      <w:r>
        <w:rPr>
          <w:rFonts w:ascii="Tms Rmn" w:hAnsi="Tms Rmn"/>
          <w:noProof/>
          <w:sz w:val="24"/>
          <w:szCs w:val="24"/>
          <w:lang w:eastAsia="uk-UA"/>
        </w:rPr>
        <w:drawing>
          <wp:inline distT="0" distB="0" distL="0" distR="0">
            <wp:extent cx="4572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p w:rsidR="00447409" w:rsidRDefault="00447409" w:rsidP="00447409">
      <w:pPr>
        <w:autoSpaceDE w:val="0"/>
        <w:autoSpaceDN w:val="0"/>
        <w:adjustRightInd w:val="0"/>
        <w:spacing w:before="12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УКРАЇНА</w:t>
      </w:r>
    </w:p>
    <w:p w:rsidR="00447409" w:rsidRDefault="00447409" w:rsidP="0044740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ЛЬВІВСЬКА МІСЬКА РАДА</w:t>
      </w:r>
    </w:p>
    <w:p w:rsidR="00447409" w:rsidRDefault="00447409" w:rsidP="00447409">
      <w:pPr>
        <w:autoSpaceDE w:val="0"/>
        <w:autoSpaceDN w:val="0"/>
        <w:adjustRightInd w:val="0"/>
        <w:spacing w:after="0" w:line="240" w:lineRule="auto"/>
        <w:jc w:val="center"/>
        <w:rPr>
          <w:rFonts w:ascii="Times New Roman" w:hAnsi="Times New Roman" w:cs="Times New Roman"/>
          <w:b/>
          <w:bCs/>
          <w:color w:val="000000"/>
          <w:sz w:val="20"/>
          <w:szCs w:val="20"/>
        </w:rPr>
      </w:pPr>
    </w:p>
    <w:p w:rsidR="00447409" w:rsidRDefault="00447409" w:rsidP="0044740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2-га сесія 6-го скликання</w:t>
      </w:r>
    </w:p>
    <w:p w:rsidR="00447409" w:rsidRDefault="00447409" w:rsidP="00447409">
      <w:pPr>
        <w:autoSpaceDE w:val="0"/>
        <w:autoSpaceDN w:val="0"/>
        <w:adjustRightInd w:val="0"/>
        <w:spacing w:before="120" w:after="0" w:line="240" w:lineRule="auto"/>
        <w:jc w:val="center"/>
        <w:rPr>
          <w:rFonts w:ascii="Arial" w:hAnsi="Arial" w:cs="Arial"/>
          <w:color w:val="000000"/>
          <w:sz w:val="26"/>
          <w:szCs w:val="26"/>
        </w:rPr>
      </w:pPr>
      <w:r>
        <w:rPr>
          <w:rFonts w:ascii="Times New Roman" w:hAnsi="Times New Roman" w:cs="Times New Roman"/>
          <w:b/>
          <w:bCs/>
          <w:color w:val="000000"/>
          <w:sz w:val="26"/>
          <w:szCs w:val="26"/>
        </w:rPr>
        <w:t>УХВАЛА №</w:t>
      </w:r>
      <w:r>
        <w:rPr>
          <w:rFonts w:ascii="Arial" w:hAnsi="Arial" w:cs="Arial"/>
          <w:b/>
          <w:bCs/>
          <w:color w:val="000000"/>
          <w:sz w:val="26"/>
          <w:szCs w:val="26"/>
        </w:rPr>
        <w:t xml:space="preserve"> </w:t>
      </w:r>
      <w:r>
        <w:rPr>
          <w:rFonts w:ascii="Arial" w:hAnsi="Arial" w:cs="Arial"/>
          <w:color w:val="000000"/>
          <w:sz w:val="26"/>
          <w:szCs w:val="26"/>
        </w:rPr>
        <w:t>120</w:t>
      </w:r>
    </w:p>
    <w:p w:rsidR="00447409" w:rsidRDefault="00447409" w:rsidP="00447409">
      <w:pPr>
        <w:autoSpaceDE w:val="0"/>
        <w:autoSpaceDN w:val="0"/>
        <w:adjustRightInd w:val="0"/>
        <w:spacing w:before="120" w:after="0" w:line="240" w:lineRule="auto"/>
        <w:rPr>
          <w:rFonts w:ascii="Arial" w:hAnsi="Arial" w:cs="Arial"/>
          <w:color w:val="000000"/>
          <w:sz w:val="24"/>
          <w:szCs w:val="24"/>
        </w:rPr>
      </w:pPr>
      <w:r>
        <w:rPr>
          <w:rFonts w:ascii="Arial" w:hAnsi="Arial" w:cs="Arial"/>
          <w:b/>
          <w:bCs/>
          <w:color w:val="000000"/>
          <w:sz w:val="30"/>
          <w:szCs w:val="30"/>
        </w:rPr>
        <w:tab/>
      </w:r>
      <w:r>
        <w:rPr>
          <w:rFonts w:ascii="Arial" w:hAnsi="Arial" w:cs="Arial"/>
          <w:b/>
          <w:bCs/>
          <w:color w:val="000000"/>
          <w:sz w:val="30"/>
          <w:szCs w:val="30"/>
        </w:rPr>
        <w:tab/>
      </w:r>
      <w:r>
        <w:rPr>
          <w:rFonts w:ascii="Arial" w:hAnsi="Arial" w:cs="Arial"/>
          <w:color w:val="000000"/>
          <w:sz w:val="24"/>
          <w:szCs w:val="24"/>
        </w:rPr>
        <w:t xml:space="preserve">від 27.01.2011         </w:t>
      </w:r>
    </w:p>
    <w:p w:rsidR="00447409" w:rsidRDefault="00447409" w:rsidP="00447409">
      <w:pPr>
        <w:autoSpaceDE w:val="0"/>
        <w:autoSpaceDN w:val="0"/>
        <w:adjustRightInd w:val="0"/>
        <w:spacing w:before="120" w:after="0" w:line="240" w:lineRule="auto"/>
        <w:rPr>
          <w:rFonts w:ascii="Arial" w:hAnsi="Arial" w:cs="Arial"/>
          <w:color w:val="000000"/>
          <w:sz w:val="24"/>
          <w:szCs w:val="24"/>
        </w:rPr>
      </w:pPr>
      <w:r>
        <w:rPr>
          <w:rFonts w:ascii="Arial" w:hAnsi="Arial" w:cs="Arial"/>
          <w:color w:val="000000"/>
          <w:sz w:val="24"/>
          <w:szCs w:val="24"/>
        </w:rPr>
        <w:t xml:space="preserve"> </w:t>
      </w:r>
    </w:p>
    <w:p w:rsidR="00447409" w:rsidRDefault="00447409" w:rsidP="00447409">
      <w:pPr>
        <w:autoSpaceDE w:val="0"/>
        <w:autoSpaceDN w:val="0"/>
        <w:adjustRightInd w:val="0"/>
        <w:spacing w:before="120" w:after="0" w:line="240" w:lineRule="auto"/>
        <w:rPr>
          <w:rFonts w:ascii="Arial" w:hAnsi="Arial" w:cs="Arial"/>
          <w:color w:val="000000"/>
          <w:sz w:val="24"/>
          <w:szCs w:val="24"/>
        </w:rPr>
      </w:pPr>
    </w:p>
    <w:tbl>
      <w:tblPr>
        <w:tblW w:w="5000" w:type="pct"/>
        <w:tblLayout w:type="fixed"/>
        <w:tblCellMar>
          <w:left w:w="0" w:type="dxa"/>
          <w:right w:w="0" w:type="dxa"/>
        </w:tblCellMar>
        <w:tblLook w:val="00BF" w:firstRow="1" w:lastRow="0" w:firstColumn="1" w:lastColumn="0" w:noHBand="0" w:noVBand="0"/>
      </w:tblPr>
      <w:tblGrid>
        <w:gridCol w:w="9095"/>
        <w:gridCol w:w="878"/>
      </w:tblGrid>
      <w:tr w:rsidR="00447409">
        <w:tc>
          <w:tcPr>
            <w:tcW w:w="4559" w:type="pct"/>
          </w:tcPr>
          <w:p w:rsidR="00447409" w:rsidRDefault="00447409">
            <w:pPr>
              <w:keepNext/>
              <w:keepLines/>
              <w:autoSpaceDE w:val="0"/>
              <w:autoSpaceDN w:val="0"/>
              <w:adjustRightInd w:val="0"/>
              <w:spacing w:after="0" w:line="240" w:lineRule="auto"/>
              <w:ind w:left="15"/>
              <w:rPr>
                <w:rFonts w:ascii="Arial" w:hAnsi="Arial" w:cs="Arial"/>
                <w:b/>
                <w:bCs/>
                <w:color w:val="000000"/>
              </w:rPr>
            </w:pPr>
            <w:r>
              <w:rPr>
                <w:rFonts w:ascii="Arial" w:hAnsi="Arial" w:cs="Arial"/>
                <w:b/>
                <w:bCs/>
                <w:color w:val="000000"/>
              </w:rPr>
              <w:t>Про затвердження збору за місця для паркування транспортних засобів та плати за паркування транспортних засобів на території м. Львова</w:t>
            </w:r>
          </w:p>
        </w:tc>
        <w:tc>
          <w:tcPr>
            <w:tcW w:w="440" w:type="pct"/>
          </w:tcPr>
          <w:p w:rsidR="00447409" w:rsidRDefault="00447409">
            <w:pPr>
              <w:keepNext/>
              <w:keepLines/>
              <w:autoSpaceDE w:val="0"/>
              <w:autoSpaceDN w:val="0"/>
              <w:adjustRightInd w:val="0"/>
              <w:spacing w:after="0" w:line="240" w:lineRule="auto"/>
              <w:ind w:left="15"/>
              <w:rPr>
                <w:rFonts w:ascii="Arial" w:hAnsi="Arial" w:cs="Arial"/>
                <w:b/>
                <w:bCs/>
                <w:color w:val="000000"/>
              </w:rPr>
            </w:pPr>
          </w:p>
        </w:tc>
      </w:tr>
    </w:tbl>
    <w:p w:rsidR="00447409" w:rsidRDefault="00447409" w:rsidP="00447409">
      <w:pPr>
        <w:autoSpaceDE w:val="0"/>
        <w:autoSpaceDN w:val="0"/>
        <w:adjustRightInd w:val="0"/>
        <w:spacing w:after="0" w:line="240" w:lineRule="auto"/>
        <w:rPr>
          <w:rFonts w:ascii="Arial" w:hAnsi="Arial" w:cs="Arial"/>
          <w:b/>
          <w:bCs/>
          <w:color w:val="000000"/>
        </w:rPr>
      </w:pPr>
    </w:p>
    <w:p w:rsidR="00447409" w:rsidRDefault="00447409" w:rsidP="00447409">
      <w:pPr>
        <w:autoSpaceDE w:val="0"/>
        <w:autoSpaceDN w:val="0"/>
        <w:adjustRightInd w:val="0"/>
        <w:spacing w:after="0" w:line="240" w:lineRule="auto"/>
        <w:rPr>
          <w:rFonts w:ascii="Arial" w:hAnsi="Arial" w:cs="Arial"/>
          <w:b/>
          <w:bCs/>
          <w:color w:val="000000"/>
        </w:rPr>
      </w:pPr>
    </w:p>
    <w:p w:rsidR="00447409" w:rsidRDefault="00447409" w:rsidP="00447409">
      <w:pPr>
        <w:autoSpaceDE w:val="0"/>
        <w:autoSpaceDN w:val="0"/>
        <w:adjustRightInd w:val="0"/>
        <w:spacing w:after="0" w:line="240" w:lineRule="auto"/>
        <w:rPr>
          <w:rFonts w:ascii="@Arial Unicode MS" w:hAnsi="@Arial Unicode MS" w:cs="@Arial Unicode MS"/>
          <w:color w:val="000000"/>
          <w:sz w:val="20"/>
          <w:szCs w:val="20"/>
        </w:rPr>
      </w:pPr>
      <w:r>
        <w:rPr>
          <w:rFonts w:ascii="@Arial Unicode MS" w:hAnsi="@Arial Unicode MS" w:cs="@Arial Unicode MS"/>
          <w:color w:val="000000"/>
          <w:sz w:val="20"/>
          <w:szCs w:val="20"/>
        </w:rPr>
        <w:t xml:space="preserve"> </w:t>
      </w:r>
    </w:p>
    <w:p w:rsidR="00447409" w:rsidRDefault="00447409" w:rsidP="00447409">
      <w:pPr>
        <w:autoSpaceDE w:val="0"/>
        <w:autoSpaceDN w:val="0"/>
        <w:adjustRightInd w:val="0"/>
        <w:spacing w:after="0" w:line="240" w:lineRule="auto"/>
        <w:ind w:firstLine="709"/>
        <w:rPr>
          <w:rFonts w:ascii="Helv" w:hAnsi="Helv" w:cs="Helv"/>
          <w:color w:val="000000"/>
          <w:sz w:val="20"/>
          <w:szCs w:val="2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Керуючись Податковим кодексом України, постановою Кабінету Міністрів України від 02.03.2010 № 258 “Про затвердження Порядку формування тарифів на послуги з утримання майданчиків для платного паркування транспортних засобів“, відповідно до ст.25, 26 Закону України “Про місцеве самоврядування в Україні“, міська рада ухвалила:</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 Затвердити: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1.1. Ставки збору за місця для паркування транспортних засобів та плату за паркування транспортних засобів на території </w:t>
      </w:r>
      <w:proofErr w:type="spellStart"/>
      <w:r>
        <w:rPr>
          <w:rFonts w:ascii="Arial CYR" w:hAnsi="Arial CYR" w:cs="Arial CYR"/>
          <w:color w:val="000000"/>
        </w:rPr>
        <w:t>м.Львова</w:t>
      </w:r>
      <w:proofErr w:type="spellEnd"/>
      <w:r>
        <w:rPr>
          <w:rFonts w:ascii="Arial CYR" w:hAnsi="Arial CYR" w:cs="Arial CYR"/>
          <w:color w:val="000000"/>
        </w:rPr>
        <w:t xml:space="preserve"> (додаток 1).</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1.2. Перелік спеціальних земельних ділянок, визначених для забезпечення паркування транспортних засобів із зазначенням місця розташування, загальної площі та кількості місць для паркування  (додаток 2).</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1.3. Межі зон паркування на території </w:t>
      </w:r>
      <w:proofErr w:type="spellStart"/>
      <w:r>
        <w:rPr>
          <w:rFonts w:ascii="Arial CYR" w:hAnsi="Arial CYR" w:cs="Arial CYR"/>
          <w:color w:val="000000"/>
        </w:rPr>
        <w:t>м.Львова</w:t>
      </w:r>
      <w:proofErr w:type="spellEnd"/>
      <w:r>
        <w:rPr>
          <w:rFonts w:ascii="Arial CYR" w:hAnsi="Arial CYR" w:cs="Arial CYR"/>
          <w:color w:val="000000"/>
        </w:rPr>
        <w:t xml:space="preserve"> для паркування транспортних засобів (додаток 3).</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1.4. Договір про використання земельної ділянки, спеціально визначеної для забезпечення паркування транспортних засобів (додаток 4).</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2. Визначити замовником з організації паркування транспортних засобів у м. Львові управління транспорту департаменту житлового господарства та інфраструктури.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3. Департаменту економічної політики спільно з департаментом містобудування, департаментом житлового господарства та інфраструктури і юридичним управлінням привести у відповідність до цієї ухвали рішення виконавчого комітету від 11.05.2007 № 268 “Про затвердження Положення про проведення конкурсу з визначення операторів паркування автотранспорту у </w:t>
      </w:r>
      <w:proofErr w:type="spellStart"/>
      <w:r>
        <w:rPr>
          <w:rFonts w:ascii="Arial CYR" w:hAnsi="Arial CYR" w:cs="Arial CYR"/>
          <w:color w:val="000000"/>
        </w:rPr>
        <w:t>м.Львові</w:t>
      </w:r>
      <w:proofErr w:type="spellEnd"/>
      <w:r>
        <w:rPr>
          <w:rFonts w:ascii="Arial CYR" w:hAnsi="Arial CYR" w:cs="Arial CYR"/>
          <w:color w:val="000000"/>
        </w:rPr>
        <w:t xml:space="preserve">“.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 xml:space="preserve">                        Відповідальні: директор</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департаменту економічної</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політики, директор департаменту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містобудування, директор</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департаменту житлового</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господарства та інфраструктури,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начальник юридичного управління.</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4. Департаменту житлового господарства та інфраструктури розробити та подати міській раді на затвердження Правила паркування транспортних засобів у м. Львові.</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Термін: до 01.04.2011.</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Відповідальний: директор</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департаменту житлового</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господарства та інфраструктури.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lastRenderedPageBreak/>
        <w:t>4-1. Власникам спеціально обладнаних чи відведених майданчиків для паркування забезпечити виділення та облаштування у межах майданчиків місць для безоплатного паркування легкових автомобілів, якими керують інваліди з ураженням опорно-рухового апарату, члени їхніх сімей, яким відповідно до порядку забезпечення інвалідів автомобілями передано право керування автомобілем.</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5. Вважати такими, що втратили чинність:</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5.1. Ухвалу міської ради від 28.11.2002 № 157 “Про затвердження Положення про організацію та функціонування зон паркування автотранспортних засобів на території </w:t>
      </w:r>
      <w:proofErr w:type="spellStart"/>
      <w:r>
        <w:rPr>
          <w:rFonts w:ascii="Arial CYR" w:hAnsi="Arial CYR" w:cs="Arial CYR"/>
          <w:color w:val="000000"/>
        </w:rPr>
        <w:t>м.Львова</w:t>
      </w:r>
      <w:proofErr w:type="spellEnd"/>
      <w:r>
        <w:rPr>
          <w:rFonts w:ascii="Arial CYR" w:hAnsi="Arial CYR" w:cs="Arial CYR"/>
          <w:color w:val="000000"/>
        </w:rPr>
        <w:t>“ (з доповненнями).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5.2. Рішення виконавчого комітету від 27.12.2002 № 597 "Про плату за паркування автотранспорту".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6. Встановити, що ця ухвала набирає чинності з 01.02.2011.</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7. Департаменту “Адміністрація міського голови“ оприлюднити цю ухвалу у засобах масової інформації.</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 xml:space="preserve">Відповідальний: директор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 xml:space="preserve">департаменту “Адміністрація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міського голови“.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8. Контроль за виконанням ухвали покласти на постійну комісію інженерного господарства, транспорту та зв’язку.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Міський голова</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roofErr w:type="spellStart"/>
      <w:r>
        <w:rPr>
          <w:rFonts w:ascii="Arial CYR" w:hAnsi="Arial CYR" w:cs="Arial CYR"/>
          <w:color w:val="000000"/>
        </w:rPr>
        <w:t>А.Садовий</w:t>
      </w:r>
      <w:proofErr w:type="spellEnd"/>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w:t>
      </w:r>
      <w:r>
        <w:rPr>
          <w:rFonts w:ascii="Arial CYR" w:hAnsi="Arial CYR" w:cs="Arial CYR"/>
          <w:color w:val="000000"/>
        </w:rPr>
        <w:tab/>
        <w:t xml:space="preserve">                                                                                                                  Додаток 1</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Затверджено</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ухвалою   міської   ради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 </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від __________№_____</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center"/>
        <w:rPr>
          <w:rFonts w:ascii="Arial CYR" w:hAnsi="Arial CYR" w:cs="Arial CYR"/>
          <w:color w:val="000000"/>
        </w:rPr>
      </w:pPr>
      <w:r>
        <w:rPr>
          <w:rFonts w:ascii="Arial CYR" w:hAnsi="Arial CYR" w:cs="Arial CYR"/>
          <w:color w:val="000000"/>
        </w:rPr>
        <w:t>СТАВКИ</w:t>
      </w:r>
    </w:p>
    <w:p w:rsidR="00447409" w:rsidRDefault="00447409" w:rsidP="00447409">
      <w:pPr>
        <w:autoSpaceDE w:val="0"/>
        <w:autoSpaceDN w:val="0"/>
        <w:adjustRightInd w:val="0"/>
        <w:spacing w:after="0" w:line="240" w:lineRule="auto"/>
        <w:ind w:firstLine="709"/>
        <w:jc w:val="center"/>
        <w:rPr>
          <w:rFonts w:ascii="Arial CYR" w:hAnsi="Arial CYR" w:cs="Arial CYR"/>
          <w:color w:val="000000"/>
        </w:rPr>
      </w:pPr>
      <w:r>
        <w:rPr>
          <w:rFonts w:ascii="Arial CYR" w:hAnsi="Arial CYR" w:cs="Arial CYR"/>
          <w:color w:val="000000"/>
        </w:rPr>
        <w:t xml:space="preserve">збору за місця для паркування транспортних засобів та плата за паркування транспортних засобів на території </w:t>
      </w:r>
      <w:proofErr w:type="spellStart"/>
      <w:r>
        <w:rPr>
          <w:rFonts w:ascii="Arial CYR" w:hAnsi="Arial CYR" w:cs="Arial CYR"/>
          <w:color w:val="000000"/>
        </w:rPr>
        <w:t>м.Львова</w:t>
      </w:r>
      <w:proofErr w:type="spellEnd"/>
    </w:p>
    <w:p w:rsidR="00447409" w:rsidRDefault="00447409" w:rsidP="00447409">
      <w:pPr>
        <w:autoSpaceDE w:val="0"/>
        <w:autoSpaceDN w:val="0"/>
        <w:adjustRightInd w:val="0"/>
        <w:spacing w:after="0" w:line="240" w:lineRule="auto"/>
        <w:ind w:firstLine="709"/>
        <w:jc w:val="center"/>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1. Встановити ставки збору за місця для паркування транспортних засобів за кожний день провадження діяльності із забезпечення паркування транспортних засобів (у грн.) за 1 </w:t>
      </w:r>
      <w:proofErr w:type="spellStart"/>
      <w:r>
        <w:rPr>
          <w:rFonts w:ascii="Arial CYR" w:hAnsi="Arial CYR" w:cs="Arial CYR"/>
          <w:color w:val="000000"/>
        </w:rPr>
        <w:t>кв.м</w:t>
      </w:r>
      <w:proofErr w:type="spellEnd"/>
      <w:r>
        <w:rPr>
          <w:rFonts w:ascii="Arial CYR" w:hAnsi="Arial CYR" w:cs="Arial CYR"/>
          <w:color w:val="000000"/>
        </w:rPr>
        <w:t xml:space="preserve"> площі земельної ділянки, визначеної для організації та провадження такої діяльності відповідно до зон паркування на території </w:t>
      </w:r>
      <w:proofErr w:type="spellStart"/>
      <w:r>
        <w:rPr>
          <w:rFonts w:ascii="Arial CYR" w:hAnsi="Arial CYR" w:cs="Arial CYR"/>
          <w:color w:val="000000"/>
        </w:rPr>
        <w:t>м.Львова</w:t>
      </w:r>
      <w:proofErr w:type="spellEnd"/>
      <w:r>
        <w:rPr>
          <w:rFonts w:ascii="Arial CYR" w:hAnsi="Arial CYR" w:cs="Arial CYR"/>
          <w:color w:val="000000"/>
        </w:rPr>
        <w:t xml:space="preserve"> для паркування транспортних засобів (згідно з додатком 3 до цієї ухвали):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1.1. У 1-й зоні паркування:</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1.1.1. На спеціально обладнаних майданчиках для паркування – у розмірі 0,075 відсотка мінімальної заробітної плати, встановленої законодавством України на 1 січня податкового (звітного) року.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1.1.2. На відведених майданчиках для паркування – у розмірі 0,04 відсотка мінімальної заробітної плати, встановленої законодавством України на 1 січня податкового (звітного) року“.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1.2. У 2-й зоні паркування у розмірі 0,02 відсотка мінімальної заробітної плати, встановленої законодавством України на 1 січня податкового (звітного) року.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2. Особи, які розміщують транспортні засоби на майданчиках для паркування сплачують плату за паркування, що розраховується на основі економічно </w:t>
      </w:r>
      <w:proofErr w:type="spellStart"/>
      <w:r>
        <w:rPr>
          <w:rFonts w:ascii="Arial CYR" w:hAnsi="Arial CYR" w:cs="Arial CYR"/>
          <w:color w:val="000000"/>
        </w:rPr>
        <w:t>обгрунтованих</w:t>
      </w:r>
      <w:proofErr w:type="spellEnd"/>
      <w:r>
        <w:rPr>
          <w:rFonts w:ascii="Arial CYR" w:hAnsi="Arial CYR" w:cs="Arial CYR"/>
          <w:color w:val="000000"/>
        </w:rPr>
        <w:t xml:space="preserve"> витрат оператора під час надання послуг з утримання майданчиків для платного паркування (з максимальним рівнем рентабельності 12 відсотків).</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 Встановити плату за паркування одного транспортного засобу за годину: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3.1. На спеціально обладнаних майданчиках для платного паркування у 1-й зоні паркування – не більше 20,00 грн.</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3.2. На відведених майданчиках для платного паркування у 1-й зоні паркування – не більше 15,00 грн.</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3.3. На майданчиках для платного паркування у 2-й зоні паркування – не більше 5,00 грн.</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3.4. На майданчиках для платного паркування туристичного транспорту (незалежно від місця розташування) – не більше 50,00 грн.</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3.5. На майданчику для платного паркування, розміщеному на території Міжнародного аеропорту “Львів“ імені Данила Галицького – не більше 20,00 грн.</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4. У робочі дні з 8.00 год. до 19.00 год. для мешканців 1-ї зони паркування встановлюється пільгова плата за кожну годину паркування у розмірі 25 % загального розміру плати за паркування. Мешканці 1-ї зони паркування мають право здійснювати паркування за пільгову плату лише на майданчиках для паркування, безпосередньо прилеглих до житлових будинків, у яких ці мешканці проживають. У вихідні, святкові дні та з 19.00 год. до 8.00 год. у робочі дні плата за паркування з мешканців, які мають право на пільгову плату, не стягується.</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5. Платником збору є юридичні особи, їх філії (відділення, представництва), фізичні особи-підприємці,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визначених</w:t>
      </w:r>
      <w:r>
        <w:rPr>
          <w:rFonts w:ascii="Arial CYR" w:hAnsi="Arial CYR" w:cs="Arial CYR"/>
          <w:color w:val="FF0000"/>
        </w:rPr>
        <w:t xml:space="preserve"> </w:t>
      </w:r>
      <w:r>
        <w:rPr>
          <w:rFonts w:ascii="Arial CYR" w:hAnsi="Arial CYR" w:cs="Arial CYR"/>
          <w:color w:val="000000"/>
        </w:rPr>
        <w:t>автостоянках згідно з договором про використання земельної ділянки, спеціально визначеної для забезпечення паркування транспортних засобів, укладеним з департаментом житлового господарства та інфраструктури.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6. Об’єктом оподаткування є земельна ділянка, яка визначена міською радою для забезпечення паркування транспортних засобів на автомобільних дорогах загального </w:t>
      </w:r>
      <w:r>
        <w:rPr>
          <w:rFonts w:ascii="Arial CYR" w:hAnsi="Arial CYR" w:cs="Arial CYR"/>
          <w:color w:val="000000"/>
        </w:rPr>
        <w:lastRenderedPageBreak/>
        <w:t>користування, тротуарах або інших місцях, а також комунальні гаражі, стоянки, паркінги, які побудовані за рахунок коштів міського бюджету м. Львова.</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7. Базою оподаткування є площа земельної ділянки, визначена для паркування (у тому числі площа комунальних гаражів, стоянок, паркінгів, які побудовані за рахунок коштів міського бюджету м. Львова), розрахована як добуток нормативної площі одного місця для паркування та кількості місць для паркування (згідно з додатком 2). Нормативна площа одного місця для паркування транспортних засобів (за винятком місць для паркування туристичного транспорту) становить 11,5 </w:t>
      </w:r>
      <w:proofErr w:type="spellStart"/>
      <w:r>
        <w:rPr>
          <w:rFonts w:ascii="Arial CYR" w:hAnsi="Arial CYR" w:cs="Arial CYR"/>
          <w:color w:val="000000"/>
        </w:rPr>
        <w:t>кв</w:t>
      </w:r>
      <w:proofErr w:type="spellEnd"/>
      <w:r>
        <w:rPr>
          <w:rFonts w:ascii="Arial CYR" w:hAnsi="Arial CYR" w:cs="Arial CYR"/>
          <w:color w:val="000000"/>
        </w:rPr>
        <w:t xml:space="preserve">. м відповідно до підпункту 5.2 пункту 5 ДБН В.2.3-15-2007, затвердженого наказом Міністерства будівництва, архітектури та житлово-комунального господарства України від 07.02.2007 № 44. Нормативна площа одного місця для паркування туристичного транспорту становить 52,5 </w:t>
      </w:r>
      <w:proofErr w:type="spellStart"/>
      <w:r>
        <w:rPr>
          <w:rFonts w:ascii="Arial CYR" w:hAnsi="Arial CYR" w:cs="Arial CYR"/>
          <w:color w:val="000000"/>
        </w:rPr>
        <w:t>кв</w:t>
      </w:r>
      <w:proofErr w:type="spellEnd"/>
      <w:r>
        <w:rPr>
          <w:rFonts w:ascii="Arial CYR" w:hAnsi="Arial CYR" w:cs="Arial CYR"/>
          <w:color w:val="000000"/>
        </w:rPr>
        <w:t xml:space="preserve">. м відповідно до підпункту 7.53 пункту 7 ДБН 360-92**. База оподаткування збором зменшується на площу земельної ділянки, яка визначена для безоплатного паркування транспортних засобів. </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8. Порядок обчислення та терміни сплати збору: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 xml:space="preserve">8.1. Збір сплачується до міського бюджету </w:t>
      </w:r>
      <w:proofErr w:type="spellStart"/>
      <w:r>
        <w:rPr>
          <w:rFonts w:ascii="Arial CYR" w:hAnsi="Arial CYR" w:cs="Arial CYR"/>
          <w:color w:val="000000"/>
        </w:rPr>
        <w:t>м.Львова</w:t>
      </w:r>
      <w:proofErr w:type="spellEnd"/>
      <w:r>
        <w:rPr>
          <w:rFonts w:ascii="Arial CYR" w:hAnsi="Arial CYR" w:cs="Arial CYR"/>
          <w:color w:val="000000"/>
        </w:rPr>
        <w:t xml:space="preserve"> авансовим внеском до 30 числа (включно) кожного місяця (у лютому до 28/29 числа) включно) за місцем розташування спеціально визначеного місця для паркування транспортних засобів. Остаточна сума збору, обчислена відповідно до податкової декларації за податковий (звітній) період (з врахуванням фактично внесених авансових платежів), сплачується у терміни, визначені для квартального податкового періоду.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8.2.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в органі державної податкової служби за місцезнаходженням земельної ділянки.</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8.3. Базовий податковий (звітній) період дорівнює календарному кварталу.</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Секретар ради</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roofErr w:type="spellStart"/>
      <w:r>
        <w:rPr>
          <w:rFonts w:ascii="Arial CYR" w:hAnsi="Arial CYR" w:cs="Arial CYR"/>
          <w:color w:val="000000"/>
        </w:rPr>
        <w:t>В.Павлюк</w:t>
      </w:r>
      <w:proofErr w:type="spellEnd"/>
      <w:r>
        <w:rPr>
          <w:rFonts w:ascii="Arial CYR" w:hAnsi="Arial CYR" w:cs="Arial CYR"/>
          <w:color w:val="000000"/>
        </w:rPr>
        <w:tab/>
      </w:r>
      <w:r>
        <w:rPr>
          <w:rFonts w:ascii="Arial CYR" w:hAnsi="Arial CYR" w:cs="Arial CYR"/>
          <w:color w:val="000000"/>
        </w:rPr>
        <w:tab/>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Віза:</w:t>
      </w:r>
    </w:p>
    <w:p w:rsidR="00447409" w:rsidRDefault="00447409" w:rsidP="00447409">
      <w:pPr>
        <w:autoSpaceDE w:val="0"/>
        <w:autoSpaceDN w:val="0"/>
        <w:adjustRightInd w:val="0"/>
        <w:spacing w:after="0" w:line="240" w:lineRule="auto"/>
        <w:ind w:firstLine="709"/>
        <w:jc w:val="both"/>
        <w:rPr>
          <w:rFonts w:ascii="Arial CYR" w:hAnsi="Arial CYR" w:cs="Arial CYR"/>
          <w:color w:val="000000"/>
        </w:rPr>
      </w:pPr>
      <w:r>
        <w:rPr>
          <w:rFonts w:ascii="Arial CYR" w:hAnsi="Arial CYR" w:cs="Arial CYR"/>
          <w:color w:val="000000"/>
        </w:rPr>
        <w:t>Начальник управління економіки</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roofErr w:type="spellStart"/>
      <w:r>
        <w:rPr>
          <w:rFonts w:ascii="Arial CYR" w:hAnsi="Arial CYR" w:cs="Arial CYR"/>
          <w:color w:val="000000"/>
        </w:rPr>
        <w:t>М.Балаш</w:t>
      </w:r>
      <w:proofErr w:type="spellEnd"/>
    </w:p>
    <w:p w:rsidR="00135744" w:rsidRDefault="00135744"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ind w:firstLine="709"/>
      </w:pP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lastRenderedPageBreak/>
        <w:t xml:space="preserve">                                                 </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 xml:space="preserve">     Додаток 3</w:t>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 xml:space="preserve">                                                                                                                      Затверджено</w:t>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ухвалою   міської   ради</w:t>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 xml:space="preserve"> </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t>від __________№_____</w:t>
      </w: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МЕЖІ</w:t>
      </w:r>
    </w:p>
    <w:p w:rsidR="00447409" w:rsidRDefault="00447409" w:rsidP="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 xml:space="preserve">зон паркування на території </w:t>
      </w:r>
      <w:proofErr w:type="spellStart"/>
      <w:r>
        <w:rPr>
          <w:rFonts w:ascii="Arial CYR" w:hAnsi="Arial CYR" w:cs="Arial CYR"/>
          <w:color w:val="000000"/>
        </w:rPr>
        <w:t>м.Львова</w:t>
      </w:r>
      <w:proofErr w:type="spellEnd"/>
      <w:r>
        <w:rPr>
          <w:rFonts w:ascii="Arial CYR" w:hAnsi="Arial CYR" w:cs="Arial CYR"/>
          <w:color w:val="000000"/>
        </w:rPr>
        <w:t xml:space="preserve"> для паркування</w:t>
      </w:r>
    </w:p>
    <w:p w:rsidR="00447409" w:rsidRDefault="00447409" w:rsidP="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транспортних засобів</w:t>
      </w:r>
    </w:p>
    <w:p w:rsidR="00447409" w:rsidRDefault="00447409" w:rsidP="00447409">
      <w:pPr>
        <w:autoSpaceDE w:val="0"/>
        <w:autoSpaceDN w:val="0"/>
        <w:adjustRightInd w:val="0"/>
        <w:spacing w:after="0" w:line="240" w:lineRule="auto"/>
        <w:jc w:val="both"/>
        <w:rPr>
          <w:rFonts w:ascii="Arial CYR" w:hAnsi="Arial CYR" w:cs="Arial CYR"/>
          <w:color w:val="000000"/>
        </w:rPr>
      </w:pPr>
    </w:p>
    <w:tbl>
      <w:tblPr>
        <w:tblW w:w="0" w:type="auto"/>
        <w:tblInd w:w="-116" w:type="dxa"/>
        <w:tblLayout w:type="fixed"/>
        <w:tblLook w:val="00BF" w:firstRow="1" w:lastRow="0" w:firstColumn="1" w:lastColumn="0" w:noHBand="0" w:noVBand="0"/>
      </w:tblPr>
      <w:tblGrid>
        <w:gridCol w:w="668"/>
        <w:gridCol w:w="2456"/>
        <w:gridCol w:w="6164"/>
      </w:tblGrid>
      <w:tr w:rsidR="00447409">
        <w:trPr>
          <w:trHeight w:val="723"/>
        </w:trPr>
        <w:tc>
          <w:tcPr>
            <w:tcW w:w="668" w:type="dxa"/>
            <w:tcBorders>
              <w:top w:val="single" w:sz="6" w:space="0" w:color="000000"/>
              <w:left w:val="single" w:sz="6" w:space="0" w:color="000000"/>
              <w:bottom w:val="single" w:sz="6" w:space="0" w:color="000000"/>
              <w:right w:val="single" w:sz="6" w:space="0" w:color="000000"/>
            </w:tcBorders>
          </w:tcPr>
          <w:p w:rsidR="00447409" w:rsidRDefault="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з/п</w:t>
            </w:r>
          </w:p>
        </w:tc>
        <w:tc>
          <w:tcPr>
            <w:tcW w:w="2456" w:type="dxa"/>
            <w:tcBorders>
              <w:top w:val="single" w:sz="6" w:space="0" w:color="000000"/>
              <w:left w:val="single" w:sz="6" w:space="0" w:color="000000"/>
              <w:bottom w:val="single" w:sz="6" w:space="0" w:color="000000"/>
              <w:right w:val="single" w:sz="6" w:space="0" w:color="000000"/>
            </w:tcBorders>
          </w:tcPr>
          <w:p w:rsidR="00447409" w:rsidRDefault="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Характеристика зони</w:t>
            </w:r>
          </w:p>
        </w:tc>
        <w:tc>
          <w:tcPr>
            <w:tcW w:w="6164" w:type="dxa"/>
            <w:tcBorders>
              <w:top w:val="single" w:sz="6" w:space="0" w:color="000000"/>
              <w:left w:val="single" w:sz="6" w:space="0" w:color="000000"/>
              <w:bottom w:val="single" w:sz="6" w:space="0" w:color="000000"/>
              <w:right w:val="single" w:sz="6" w:space="0" w:color="000000"/>
            </w:tcBorders>
          </w:tcPr>
          <w:p w:rsidR="00447409" w:rsidRDefault="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Опис меж території</w:t>
            </w:r>
          </w:p>
        </w:tc>
      </w:tr>
      <w:tr w:rsidR="00447409">
        <w:trPr>
          <w:trHeight w:val="723"/>
        </w:trPr>
        <w:tc>
          <w:tcPr>
            <w:tcW w:w="668" w:type="dxa"/>
            <w:tcBorders>
              <w:top w:val="single" w:sz="6" w:space="0" w:color="000000"/>
              <w:left w:val="single" w:sz="6" w:space="0" w:color="000000"/>
              <w:bottom w:val="single" w:sz="6" w:space="0" w:color="000000"/>
              <w:right w:val="single" w:sz="6" w:space="0" w:color="000000"/>
            </w:tcBorders>
          </w:tcPr>
          <w:p w:rsidR="00447409" w:rsidRDefault="00447409">
            <w:pPr>
              <w:tabs>
                <w:tab w:val="left" w:pos="4536"/>
              </w:tabs>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1.</w:t>
            </w:r>
          </w:p>
        </w:tc>
        <w:tc>
          <w:tcPr>
            <w:tcW w:w="2456" w:type="dxa"/>
            <w:tcBorders>
              <w:top w:val="single" w:sz="6" w:space="0" w:color="000000"/>
              <w:left w:val="single" w:sz="6" w:space="0" w:color="000000"/>
              <w:bottom w:val="single" w:sz="6" w:space="0" w:color="000000"/>
              <w:right w:val="single" w:sz="6" w:space="0" w:color="000000"/>
            </w:tcBorders>
          </w:tcPr>
          <w:p w:rsidR="00447409" w:rsidRDefault="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Зона І</w:t>
            </w:r>
          </w:p>
          <w:p w:rsidR="00447409" w:rsidRDefault="00447409">
            <w:pPr>
              <w:autoSpaceDE w:val="0"/>
              <w:autoSpaceDN w:val="0"/>
              <w:adjustRightInd w:val="0"/>
              <w:spacing w:after="0" w:line="240" w:lineRule="auto"/>
              <w:jc w:val="center"/>
              <w:rPr>
                <w:rFonts w:ascii="Arial CYR" w:hAnsi="Arial CYR" w:cs="Arial CYR"/>
                <w:color w:val="000000"/>
              </w:rPr>
            </w:pPr>
            <w:r>
              <w:rPr>
                <w:rFonts w:ascii="Arial CYR" w:hAnsi="Arial CYR" w:cs="Arial CYR"/>
                <w:color w:val="000000"/>
              </w:rPr>
              <w:t>(Центральна)</w:t>
            </w:r>
          </w:p>
        </w:tc>
        <w:tc>
          <w:tcPr>
            <w:tcW w:w="6164" w:type="dxa"/>
            <w:tcBorders>
              <w:top w:val="single" w:sz="6" w:space="0" w:color="000000"/>
              <w:left w:val="single" w:sz="6" w:space="0" w:color="000000"/>
              <w:bottom w:val="single" w:sz="6" w:space="0" w:color="000000"/>
              <w:right w:val="single" w:sz="6" w:space="0" w:color="000000"/>
            </w:tcBorders>
          </w:tcPr>
          <w:p w:rsidR="00447409" w:rsidRDefault="00447409">
            <w:pPr>
              <w:tabs>
                <w:tab w:val="left" w:pos="4536"/>
              </w:tabs>
              <w:autoSpaceDE w:val="0"/>
              <w:autoSpaceDN w:val="0"/>
              <w:adjustRightInd w:val="0"/>
              <w:spacing w:after="0" w:line="240" w:lineRule="auto"/>
              <w:rPr>
                <w:rFonts w:ascii="Arial CYR" w:hAnsi="Arial CYR" w:cs="Arial CYR"/>
                <w:color w:val="000000"/>
              </w:rPr>
            </w:pPr>
            <w:proofErr w:type="spellStart"/>
            <w:r>
              <w:rPr>
                <w:rFonts w:ascii="Arial CYR" w:hAnsi="Arial CYR" w:cs="Arial CYR"/>
                <w:color w:val="000000"/>
              </w:rPr>
              <w:t>Вул.І.Франка</w:t>
            </w:r>
            <w:proofErr w:type="spellEnd"/>
            <w:r>
              <w:rPr>
                <w:rFonts w:ascii="Arial CYR" w:hAnsi="Arial CYR" w:cs="Arial CYR"/>
                <w:color w:val="000000"/>
              </w:rPr>
              <w:t xml:space="preserve">, </w:t>
            </w:r>
            <w:proofErr w:type="spellStart"/>
            <w:r>
              <w:rPr>
                <w:rFonts w:ascii="Arial CYR" w:hAnsi="Arial CYR" w:cs="Arial CYR"/>
                <w:color w:val="000000"/>
              </w:rPr>
              <w:t>вул.М.Грушевського</w:t>
            </w:r>
            <w:proofErr w:type="spellEnd"/>
            <w:r>
              <w:rPr>
                <w:rFonts w:ascii="Arial CYR" w:hAnsi="Arial CYR" w:cs="Arial CYR"/>
                <w:color w:val="000000"/>
              </w:rPr>
              <w:t xml:space="preserve">, </w:t>
            </w:r>
            <w:proofErr w:type="spellStart"/>
            <w:r>
              <w:rPr>
                <w:rFonts w:ascii="Arial CYR" w:hAnsi="Arial CYR" w:cs="Arial CYR"/>
                <w:color w:val="000000"/>
              </w:rPr>
              <w:t>вул.Л.Мартовича</w:t>
            </w:r>
            <w:proofErr w:type="spellEnd"/>
            <w:r>
              <w:rPr>
                <w:rFonts w:ascii="Arial CYR" w:hAnsi="Arial CYR" w:cs="Arial CYR"/>
                <w:color w:val="000000"/>
              </w:rPr>
              <w:t xml:space="preserve">, </w:t>
            </w:r>
            <w:proofErr w:type="spellStart"/>
            <w:r>
              <w:rPr>
                <w:rFonts w:ascii="Arial CYR" w:hAnsi="Arial CYR" w:cs="Arial CYR"/>
                <w:color w:val="000000"/>
              </w:rPr>
              <w:t>вул.В.Стефаника</w:t>
            </w:r>
            <w:proofErr w:type="spellEnd"/>
            <w:r>
              <w:rPr>
                <w:rFonts w:ascii="Arial CYR" w:hAnsi="Arial CYR" w:cs="Arial CYR"/>
                <w:color w:val="000000"/>
              </w:rPr>
              <w:t xml:space="preserve">, </w:t>
            </w:r>
            <w:proofErr w:type="spellStart"/>
            <w:r>
              <w:rPr>
                <w:rFonts w:ascii="Arial CYR" w:hAnsi="Arial CYR" w:cs="Arial CYR"/>
                <w:color w:val="000000"/>
              </w:rPr>
              <w:t>вул.Ю.Словацького</w:t>
            </w:r>
            <w:proofErr w:type="spellEnd"/>
            <w:r>
              <w:rPr>
                <w:rFonts w:ascii="Arial CYR" w:hAnsi="Arial CYR" w:cs="Arial CYR"/>
                <w:color w:val="000000"/>
              </w:rPr>
              <w:t xml:space="preserve">, </w:t>
            </w:r>
            <w:proofErr w:type="spellStart"/>
            <w:r>
              <w:rPr>
                <w:rFonts w:ascii="Arial CYR" w:hAnsi="Arial CYR" w:cs="Arial CYR"/>
                <w:color w:val="000000"/>
              </w:rPr>
              <w:t>вул.Січових</w:t>
            </w:r>
            <w:proofErr w:type="spellEnd"/>
            <w:r>
              <w:rPr>
                <w:rFonts w:ascii="Arial CYR" w:hAnsi="Arial CYR" w:cs="Arial CYR"/>
                <w:color w:val="000000"/>
              </w:rPr>
              <w:t xml:space="preserve"> Стрільців, </w:t>
            </w:r>
            <w:proofErr w:type="spellStart"/>
            <w:r>
              <w:rPr>
                <w:rFonts w:ascii="Arial CYR" w:hAnsi="Arial CYR" w:cs="Arial CYR"/>
                <w:color w:val="000000"/>
              </w:rPr>
              <w:t>вул.Університетська</w:t>
            </w:r>
            <w:proofErr w:type="spellEnd"/>
            <w:r>
              <w:rPr>
                <w:rFonts w:ascii="Arial CYR" w:hAnsi="Arial CYR" w:cs="Arial CYR"/>
                <w:color w:val="000000"/>
              </w:rPr>
              <w:t xml:space="preserve">, </w:t>
            </w:r>
            <w:proofErr w:type="spellStart"/>
            <w:r>
              <w:rPr>
                <w:rFonts w:ascii="Arial CYR" w:hAnsi="Arial CYR" w:cs="Arial CYR"/>
                <w:color w:val="000000"/>
              </w:rPr>
              <w:t>вул.Б.Лепкого</w:t>
            </w:r>
            <w:proofErr w:type="spellEnd"/>
            <w:r>
              <w:rPr>
                <w:rFonts w:ascii="Arial CYR" w:hAnsi="Arial CYR" w:cs="Arial CYR"/>
                <w:color w:val="000000"/>
              </w:rPr>
              <w:t xml:space="preserve">, </w:t>
            </w:r>
            <w:proofErr w:type="spellStart"/>
            <w:r>
              <w:rPr>
                <w:rFonts w:ascii="Arial CYR" w:hAnsi="Arial CYR" w:cs="Arial CYR"/>
                <w:color w:val="000000"/>
              </w:rPr>
              <w:t>вул.Городоцька</w:t>
            </w:r>
            <w:proofErr w:type="spellEnd"/>
            <w:r>
              <w:rPr>
                <w:rFonts w:ascii="Arial CYR" w:hAnsi="Arial CYR" w:cs="Arial CYR"/>
                <w:color w:val="000000"/>
              </w:rPr>
              <w:t xml:space="preserve">, </w:t>
            </w:r>
            <w:proofErr w:type="spellStart"/>
            <w:r>
              <w:rPr>
                <w:rFonts w:ascii="Arial CYR" w:hAnsi="Arial CYR" w:cs="Arial CYR"/>
                <w:color w:val="000000"/>
              </w:rPr>
              <w:t>пл.Князя</w:t>
            </w:r>
            <w:proofErr w:type="spellEnd"/>
            <w:r>
              <w:rPr>
                <w:rFonts w:ascii="Arial CYR" w:hAnsi="Arial CYR" w:cs="Arial CYR"/>
                <w:color w:val="000000"/>
              </w:rPr>
              <w:t xml:space="preserve"> Ярослава Осмомисла, </w:t>
            </w:r>
            <w:proofErr w:type="spellStart"/>
            <w:r>
              <w:rPr>
                <w:rFonts w:ascii="Arial CYR" w:hAnsi="Arial CYR" w:cs="Arial CYR"/>
                <w:color w:val="000000"/>
              </w:rPr>
              <w:t>вул.І.Гонти</w:t>
            </w:r>
            <w:proofErr w:type="spellEnd"/>
            <w:r>
              <w:rPr>
                <w:rFonts w:ascii="Arial CYR" w:hAnsi="Arial CYR" w:cs="Arial CYR"/>
                <w:color w:val="000000"/>
              </w:rPr>
              <w:t xml:space="preserve">, </w:t>
            </w:r>
            <w:proofErr w:type="spellStart"/>
            <w:r>
              <w:rPr>
                <w:rFonts w:ascii="Arial CYR" w:hAnsi="Arial CYR" w:cs="Arial CYR"/>
                <w:color w:val="000000"/>
              </w:rPr>
              <w:t>вул.М.Кривоноса</w:t>
            </w:r>
            <w:proofErr w:type="spellEnd"/>
            <w:r>
              <w:rPr>
                <w:rFonts w:ascii="Arial CYR" w:hAnsi="Arial CYR" w:cs="Arial CYR"/>
                <w:color w:val="000000"/>
              </w:rPr>
              <w:t xml:space="preserve">, </w:t>
            </w:r>
            <w:proofErr w:type="spellStart"/>
            <w:r>
              <w:rPr>
                <w:rFonts w:ascii="Arial CYR" w:hAnsi="Arial CYR" w:cs="Arial CYR"/>
                <w:color w:val="000000"/>
              </w:rPr>
              <w:t>вул.В.Винниченка</w:t>
            </w:r>
            <w:proofErr w:type="spellEnd"/>
            <w:r>
              <w:rPr>
                <w:rFonts w:ascii="Arial CYR" w:hAnsi="Arial CYR" w:cs="Arial CYR"/>
                <w:color w:val="000000"/>
              </w:rPr>
              <w:t xml:space="preserve">, </w:t>
            </w:r>
            <w:proofErr w:type="spellStart"/>
            <w:r>
              <w:rPr>
                <w:rFonts w:ascii="Arial CYR" w:hAnsi="Arial CYR" w:cs="Arial CYR"/>
                <w:color w:val="000000"/>
              </w:rPr>
              <w:t>пл.Соборна</w:t>
            </w:r>
            <w:proofErr w:type="spellEnd"/>
            <w:r>
              <w:rPr>
                <w:rFonts w:ascii="Arial CYR" w:hAnsi="Arial CYR" w:cs="Arial CYR"/>
                <w:color w:val="000000"/>
              </w:rPr>
              <w:t xml:space="preserve">, </w:t>
            </w:r>
            <w:proofErr w:type="spellStart"/>
            <w:r>
              <w:rPr>
                <w:rFonts w:ascii="Arial CYR" w:hAnsi="Arial CYR" w:cs="Arial CYR"/>
                <w:color w:val="000000"/>
              </w:rPr>
              <w:t>вул.І.Франка</w:t>
            </w:r>
            <w:proofErr w:type="spellEnd"/>
          </w:p>
        </w:tc>
      </w:tr>
      <w:tr w:rsidR="00447409">
        <w:trPr>
          <w:trHeight w:val="723"/>
        </w:trPr>
        <w:tc>
          <w:tcPr>
            <w:tcW w:w="668" w:type="dxa"/>
            <w:tcBorders>
              <w:top w:val="single" w:sz="6" w:space="0" w:color="000000"/>
              <w:left w:val="single" w:sz="6" w:space="0" w:color="000000"/>
              <w:bottom w:val="single" w:sz="6" w:space="0" w:color="000000"/>
              <w:right w:val="single" w:sz="6" w:space="0" w:color="000000"/>
            </w:tcBorders>
          </w:tcPr>
          <w:p w:rsidR="00447409" w:rsidRDefault="00447409">
            <w:pPr>
              <w:tabs>
                <w:tab w:val="left" w:pos="4536"/>
              </w:tabs>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2.</w:t>
            </w:r>
          </w:p>
        </w:tc>
        <w:tc>
          <w:tcPr>
            <w:tcW w:w="2456" w:type="dxa"/>
            <w:tcBorders>
              <w:top w:val="single" w:sz="6" w:space="0" w:color="000000"/>
              <w:left w:val="single" w:sz="6" w:space="0" w:color="000000"/>
              <w:bottom w:val="single" w:sz="6" w:space="0" w:color="000000"/>
              <w:right w:val="single" w:sz="6" w:space="0" w:color="000000"/>
            </w:tcBorders>
          </w:tcPr>
          <w:p w:rsidR="00447409" w:rsidRDefault="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Зона ІІ</w:t>
            </w:r>
          </w:p>
        </w:tc>
        <w:tc>
          <w:tcPr>
            <w:tcW w:w="6164" w:type="dxa"/>
            <w:tcBorders>
              <w:top w:val="single" w:sz="6" w:space="0" w:color="000000"/>
              <w:left w:val="single" w:sz="6" w:space="0" w:color="000000"/>
              <w:bottom w:val="single" w:sz="6" w:space="0" w:color="000000"/>
              <w:right w:val="single" w:sz="6" w:space="0" w:color="000000"/>
            </w:tcBorders>
          </w:tcPr>
          <w:p w:rsidR="00447409" w:rsidRDefault="00447409">
            <w:pPr>
              <w:tabs>
                <w:tab w:val="left" w:pos="4536"/>
              </w:tabs>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Решта території – поза межами зони І</w:t>
            </w:r>
          </w:p>
        </w:tc>
      </w:tr>
    </w:tbl>
    <w:p w:rsidR="00447409" w:rsidRDefault="00447409" w:rsidP="00447409">
      <w:pPr>
        <w:tabs>
          <w:tab w:val="left" w:pos="7200"/>
        </w:tabs>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Примітка: Будівлі, споруди, зелені зони, незабудовані території, розташовані по обидва боки вулиці, яка є межею території зони І, вважаються такими, що належать до цієї зони.</w:t>
      </w: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Секретар ради</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roofErr w:type="spellStart"/>
      <w:r>
        <w:rPr>
          <w:rFonts w:ascii="Arial CYR" w:hAnsi="Arial CYR" w:cs="Arial CYR"/>
          <w:color w:val="000000"/>
        </w:rPr>
        <w:t>В.Павлюк</w:t>
      </w:r>
      <w:proofErr w:type="spellEnd"/>
      <w:r>
        <w:rPr>
          <w:rFonts w:ascii="Arial CYR" w:hAnsi="Arial CYR" w:cs="Arial CYR"/>
          <w:color w:val="000000"/>
        </w:rPr>
        <w:tab/>
      </w:r>
      <w:r>
        <w:rPr>
          <w:rFonts w:ascii="Arial CYR" w:hAnsi="Arial CYR" w:cs="Arial CYR"/>
          <w:color w:val="000000"/>
        </w:rPr>
        <w:tab/>
      </w:r>
      <w:r>
        <w:rPr>
          <w:rFonts w:ascii="Arial CYR" w:hAnsi="Arial CYR" w:cs="Arial CYR"/>
          <w:color w:val="000000"/>
        </w:rPr>
        <w:tab/>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Віза:</w:t>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Начальник управління</w:t>
      </w:r>
    </w:p>
    <w:p w:rsidR="00447409" w:rsidRDefault="00447409" w:rsidP="00447409">
      <w:pPr>
        <w:autoSpaceDE w:val="0"/>
        <w:autoSpaceDN w:val="0"/>
        <w:adjustRightInd w:val="0"/>
        <w:spacing w:after="0" w:line="240" w:lineRule="auto"/>
        <w:jc w:val="both"/>
        <w:rPr>
          <w:rFonts w:ascii="Arial CYR" w:hAnsi="Arial CYR" w:cs="Arial CYR"/>
          <w:color w:val="000000"/>
        </w:rPr>
      </w:pPr>
      <w:r>
        <w:rPr>
          <w:rFonts w:ascii="Arial CYR" w:hAnsi="Arial CYR" w:cs="Arial CYR"/>
          <w:color w:val="000000"/>
        </w:rPr>
        <w:t>архітектури</w:t>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r>
        <w:rPr>
          <w:rFonts w:ascii="Arial CYR" w:hAnsi="Arial CYR" w:cs="Arial CYR"/>
          <w:color w:val="000000"/>
        </w:rPr>
        <w:tab/>
      </w:r>
      <w:proofErr w:type="spellStart"/>
      <w:r>
        <w:rPr>
          <w:rFonts w:ascii="Arial CYR" w:hAnsi="Arial CYR" w:cs="Arial CYR"/>
          <w:color w:val="000000"/>
        </w:rPr>
        <w:t>Ю.Криворучко</w:t>
      </w:r>
      <w:proofErr w:type="spellEnd"/>
    </w:p>
    <w:p w:rsidR="00447409" w:rsidRDefault="00447409" w:rsidP="00447409">
      <w:pPr>
        <w:ind w:firstLine="709"/>
      </w:pPr>
      <w:bookmarkStart w:id="0" w:name="_GoBack"/>
      <w:bookmarkEnd w:id="0"/>
    </w:p>
    <w:sectPr w:rsidR="00447409" w:rsidSect="00064E05">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CC"/>
    <w:family w:val="swiss"/>
    <w:notTrueType/>
    <w:pitch w:val="default"/>
    <w:sig w:usb0="00000201" w:usb1="00000000" w:usb2="00000000" w:usb3="00000000" w:csb0="00000004"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9"/>
    <w:rsid w:val="00135744"/>
    <w:rsid w:val="00447409"/>
    <w:rsid w:val="00910F5B"/>
    <w:rsid w:val="00DB6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6DD2"/>
  <w15:chartTrackingRefBased/>
  <w15:docId w15:val="{1507DB16-96E2-4F96-AE41-93684F9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6584</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Забарило Олег</dc:creator>
  <cp:keywords/>
  <dc:description/>
  <cp:lastModifiedBy>Забарило Олег</cp:lastModifiedBy>
  <cp:revision>1</cp:revision>
  <dcterms:created xsi:type="dcterms:W3CDTF">2018-06-14T07:37:00Z</dcterms:created>
  <dcterms:modified xsi:type="dcterms:W3CDTF">2018-06-14T07:40:00Z</dcterms:modified>
</cp:coreProperties>
</file>