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6DFFB279" wp14:editId="056EC51F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8F4A61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8F4A61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CDECD" wp14:editId="084C1C38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F4A61" w:rsidRDefault="008F4A61" w:rsidP="008F4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b/>
          <w:sz w:val="28"/>
          <w:szCs w:val="28"/>
          <w:lang w:val="uk-UA"/>
        </w:rPr>
        <w:t>Стартують проекти культурних, освітніх та журналістських обмінів між Луганщиною та Львівщиною, – брифінг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брифінгу для ЗМІ заступник голови Луганської облдержадміністрації Ольга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Лішик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розповіла про запровадження конкурсів з освітніх, культурних, журналістських обмінів  між Львівською та Луганською областями у рамках проекту «Змінимо країну разом!» за підтримки голови Луганської обласної державної адміністрації – керівника обласної військово-цивільної адміністрації Юрія Гарбуза.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Цей проект синхронно стартував на Львівщині та Луганщині у рамках реалізації Меморандуму про співпрацю щодо реалізації програми «Змінимо країну разом!» між Львівською обласної радою, Луганською обласною державною адміністрацією та Асоціацією «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Єврорегіон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Карпати – Україна».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Конкурси спрямовані на обміни між закладами освіти, культури та засобами масової інформації Луганської і Львівської областей.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Ольга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Лішик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відзначила, що загальний бюджет фінансування на усі три конкурси складає 3 мільйони 600 тисяч гривень. Половина цієї суми фінансується з обласного бюджету Луганщини, половина – з бюджету Львівської області.</w:t>
      </w:r>
    </w:p>
    <w:p w:rsidR="004E3AAF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На конкурс освітніх обмінів загалом передбачено 2 мільйони гривень (по мільйону з обох обласних бюджетів). Максимальний розмір бюджету одного проекту не може перевищувати 50 тисяч гривень. Кожен заявник повинен внести своїх 10 % у реалізацію такого проекту. Потенційними аплікатами конкурсу можуть бути дошкільні, позашкільні, заклади загальної середньої та професійно-технічної освіти.</w:t>
      </w:r>
    </w:p>
    <w:p w:rsid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Для культурних обмінів загальний бюджет – 1 мільйон гривень (по 500 тисяч гривень від кожного з обласних бюджетів). Максимальний розмір бюджету одного проекту також не може перевищувати 50 тисяч гривень і власний внесок аналогічний з попередньо згадуваним конкурсом. Брати участь у ньому можуть музеї, театри, філармонії, мистецькі колективи, палаци культури, початкові спеціалізовані мистецькі навчальні заклади, що діють у галузі культури.</w:t>
      </w:r>
    </w:p>
    <w:p w:rsid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А на конкурс обмінів між засобами масової інформації Луганської і Львівської областей заплановано 600 тисяч гривень (по 300 тисяч з обох боків). Але максимальний розмір бюджету одного медійного проекту більший, ніж у попередніх двох конкурсах – 100 тисяч гривень. Подавати заявки на цей конкурс можуть засоби масової інформації, медіа-організації, </w:t>
      </w:r>
      <w:r w:rsidRPr="008F4A61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органи місцевого самоврядування та органи виконавчої влади, недержавні організації, які працюють над проектами, пов’язаними з медіа. Власний внесок є незмінним – 10 % від загального бюджету.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Заявки приймаються до 15 травня. Детальнішу інформацію про усі ці конкурси обмінів можна отримати на сайті Луганської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бласної державної адміністрації: </w:t>
      </w:r>
      <w:hyperlink r:id="rId9" w:history="1">
        <w:r w:rsidRPr="00D60437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http://loga.gov.ua/oda/about/depart/dep_uvp/konkursi_obminiv_mizh_zakladami_osviti_kulturi_ta_zmi_luganskoyu_ta_lvivskoyu_oblastyami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Адмініструвати конкурси будуть, відповідно, Департамент освіти і науки, Департамент масових комунікацій та Управління культури, національностей та релігій, де можна отримати консультації щодо особливостей їх проведення. На їхню адресу потрібно подавати і свої заявки.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Ольга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Лішик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зауважила, що результати відборів конкурсантів оголосять вже у червні, реалізація проекту запланована на липень-листопад.</w:t>
      </w:r>
    </w:p>
    <w:p w:rsid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Також вона нагадала, що вже завтра, 4 квітня, у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Сєвєродонецьку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очікується підписання договорів про партнерство між закладами освіти, культури та медіа Луганської та Львівської областей, що є обов’язковою умовою участі в цих конкурсах.</w:t>
      </w:r>
    </w:p>
    <w:p w:rsidR="008F4A61" w:rsidRPr="008F4A61" w:rsidRDefault="008F4A61" w:rsidP="008F4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b/>
          <w:sz w:val="28"/>
          <w:szCs w:val="28"/>
          <w:lang w:val="uk-UA"/>
        </w:rPr>
        <w:t>***</w:t>
      </w:r>
    </w:p>
    <w:p w:rsidR="008F4A61" w:rsidRDefault="008F4A61" w:rsidP="008F4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Облдержадміністрація запрошує до участі в конкурсі </w:t>
      </w:r>
    </w:p>
    <w:p w:rsidR="008F4A61" w:rsidRPr="008F4A61" w:rsidRDefault="008F4A61" w:rsidP="008F4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b/>
          <w:sz w:val="28"/>
          <w:szCs w:val="28"/>
          <w:lang w:val="uk-UA"/>
        </w:rPr>
        <w:t>проектів місцевого розвитку 2018 року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Про хід проведення обласного конкурсу проектів місцевого розвитку сьогодні, 3 квітня, на брифінгу для ЗМІ поінформувала заступник голови обласної держадміністрації Ольга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Лішик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«Конкурс сприятиме територіальним громадам сіл, селищ, міст, районів та об’єднаним територіальним громадам у розв’язанні місцевих проблем та стимулюванні активності у вирішенні питань місцевого значення», – наголосила заступник голови облдержадміністрації.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Ініціаторами проекту можуть виступити органи самоорганізації населення, громадські організації, ОСББ, ініціативні групи громадян, які внесли проект на розгляд місцевої ради та взяли на себе зобов’язання залучити до його фінансування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небюджетні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кошти в обсязі не менше 5 % від загальної вартості.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Учасниками конкурсу є сільські, селищні, міські, районні ради, які подали проект, погоджений рішенням ради, та уклали договір з ініціаторами проекту на його реалізацію.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Серед пріоритетних напрямів конкурсу – освіта, охорона здоров’я, культура, вуличне освітлення, екологічні ініціативи.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Так, освітня сфера включає підтримку проектів ремонту, реконструкції, капремонту об’єктів освіти. Крім того, кошти можна спрямовувати на </w:t>
      </w:r>
      <w:r w:rsidRPr="008F4A6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придбання обладнання для реалізації проектів у рамках «Нової української школи».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Серед пріоритетів сфери охорони здоров’я – ремонти, реконструкції, придбання обладнання, покращення послуг тощо. Аналогічні напрями і в сфері культури.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Важливим компонентом є напрям вуличного освітлення, куди включатимуться й проекти з освітлення громадських місць. До екологічної ініціативи можна подавати проекти на покращення наших парків, скверів, водойм, місць відпочинку тощо.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Як зауважила Ольга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Лішик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, на фінансування проектів в обласному бюджеті закладено 5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гривень. Гранична сума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окремого проекту з обласного бюджету становить 200 тис. гривень та не перевищує 50 % від його загальної вартості. Тобто, якщо на реалізацію проекту необхідно 400 тис. гривень, то з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облбюджету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буде надано 200 тис. гривень. У випадку, якщо сума буде більшою – різницю повинна компенсувати міська адміністрація.</w:t>
      </w:r>
    </w:p>
    <w:p w:rsid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Проекти подаються учасниками конкурсу протягом 45 робочих днів від дати оприлюднення оголошення про проведення конкурсу на офіційному сайті облдержадміністрації (тобто, з 16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березня по 22 травня 2018 року): </w:t>
      </w:r>
    </w:p>
    <w:bookmarkStart w:id="0" w:name="_GoBack"/>
    <w:bookmarkEnd w:id="0"/>
    <w:p w:rsid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</w:instrText>
      </w:r>
      <w:r w:rsidRPr="008F4A61">
        <w:rPr>
          <w:rFonts w:ascii="Times New Roman" w:hAnsi="Times New Roman" w:cs="Times New Roman"/>
          <w:sz w:val="28"/>
          <w:szCs w:val="28"/>
          <w:lang w:val="uk-UA"/>
        </w:rPr>
        <w:instrText>http://loga.gov.ua/oda/about/depart/lawdep/konkurs_proektiv_miscevogo_rozvitku</w:instrText>
      </w:r>
      <w:r>
        <w:rPr>
          <w:rFonts w:ascii="Times New Roman" w:hAnsi="Times New Roman" w:cs="Times New Roman"/>
          <w:sz w:val="28"/>
          <w:szCs w:val="28"/>
          <w:lang w:val="uk-UA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D60437">
        <w:rPr>
          <w:rStyle w:val="a7"/>
          <w:rFonts w:ascii="Times New Roman" w:hAnsi="Times New Roman" w:cs="Times New Roman"/>
          <w:sz w:val="28"/>
          <w:szCs w:val="28"/>
          <w:lang w:val="uk-UA"/>
        </w:rPr>
        <w:t>http://loga.gov.ua/oda/about/depart/lawdep/konkurs_proektiv_miscevogo_rozvitku</w:t>
      </w:r>
      <w:r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Переможці конкурсу визначаються шляхом відбору проектів на підставі їх рейтингової оцінки, в основу якої покладено бальну систему.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Реалізація проектів відбуватиметься впродовж бюджетного року на підставі договорів між учасниками конкурсу та ініціаторами проектів.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Учасник конкурсу у строки, визначені конкурсним комітетом, подає секретаріату конкурсного комітету такі документи: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1) проектну заявку за формою, визначеною Положенням про обласний конкурс проектів місцевого розвитку, затвердженим у новій редакції відповідним розпорядженням голови облдержадміністрації – керівника обласної військово-цивільної адміністрації;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2) рішення ради про погодження проекту та участь у його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співфінансуванні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3)  гарантійний лист ініціатора проекту та/або його партнера-донора про участь у </w:t>
      </w:r>
      <w:proofErr w:type="spellStart"/>
      <w:r w:rsidRPr="008F4A61">
        <w:rPr>
          <w:rFonts w:ascii="Times New Roman" w:hAnsi="Times New Roman" w:cs="Times New Roman"/>
          <w:sz w:val="28"/>
          <w:szCs w:val="28"/>
          <w:lang w:val="uk-UA"/>
        </w:rPr>
        <w:t>співфінансуванні</w:t>
      </w:r>
      <w:proofErr w:type="spellEnd"/>
      <w:r w:rsidRPr="008F4A61">
        <w:rPr>
          <w:rFonts w:ascii="Times New Roman" w:hAnsi="Times New Roman" w:cs="Times New Roman"/>
          <w:sz w:val="28"/>
          <w:szCs w:val="28"/>
          <w:lang w:val="uk-UA"/>
        </w:rPr>
        <w:t xml:space="preserve"> проекту;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4) інформацію про партнера-донора;</w:t>
      </w:r>
    </w:p>
    <w:p w:rsidR="008F4A61" w:rsidRP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5) копію договору з партнером-донором щодо участі у реалізації проекту шляхом його спільного фінансування;</w:t>
      </w:r>
    </w:p>
    <w:p w:rsidR="008F4A61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A61">
        <w:rPr>
          <w:rFonts w:ascii="Times New Roman" w:hAnsi="Times New Roman" w:cs="Times New Roman"/>
          <w:sz w:val="28"/>
          <w:szCs w:val="28"/>
          <w:lang w:val="uk-UA"/>
        </w:rPr>
        <w:t>6)  кошторис витрат на реалізацію проекту.</w:t>
      </w:r>
    </w:p>
    <w:p w:rsidR="008F4A61" w:rsidRPr="00836195" w:rsidRDefault="008F4A61" w:rsidP="008F4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F4A61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13616"/>
    <w:multiLevelType w:val="hybridMultilevel"/>
    <w:tmpl w:val="52F86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1872DC"/>
    <w:rsid w:val="00286511"/>
    <w:rsid w:val="002C5714"/>
    <w:rsid w:val="00395859"/>
    <w:rsid w:val="00423B10"/>
    <w:rsid w:val="004E3AAF"/>
    <w:rsid w:val="007465E0"/>
    <w:rsid w:val="00781554"/>
    <w:rsid w:val="007F2AAD"/>
    <w:rsid w:val="00821410"/>
    <w:rsid w:val="00836195"/>
    <w:rsid w:val="008F4A61"/>
    <w:rsid w:val="008F531B"/>
    <w:rsid w:val="0090590C"/>
    <w:rsid w:val="00974C48"/>
    <w:rsid w:val="009B4446"/>
    <w:rsid w:val="00AE2C41"/>
    <w:rsid w:val="00B65372"/>
    <w:rsid w:val="00B65A0E"/>
    <w:rsid w:val="00BD2C81"/>
    <w:rsid w:val="00D23F9E"/>
    <w:rsid w:val="00DB68A1"/>
    <w:rsid w:val="00EB0DCB"/>
    <w:rsid w:val="00F62F1C"/>
    <w:rsid w:val="00F90EF7"/>
    <w:rsid w:val="00F9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lugans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mk@log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oga.gov.ua/oda/about/depart/dep_uvp/konkursi_obminiv_mizh_zakladami_osviti_kulturi_ta_zmi_luganskoyu_ta_lvivskoyu_oblasty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2017-07-28T07:57:00Z</cp:lastPrinted>
  <dcterms:created xsi:type="dcterms:W3CDTF">2017-07-28T07:42:00Z</dcterms:created>
  <dcterms:modified xsi:type="dcterms:W3CDTF">2018-04-03T14:43:00Z</dcterms:modified>
</cp:coreProperties>
</file>