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B65372" w:rsidRPr="00B65372" w:rsidTr="0019440C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6CC821B5" wp14:editId="54C1FF95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372" w:rsidRPr="00B65372" w:rsidTr="0019440C">
        <w:trPr>
          <w:cantSplit/>
          <w:trHeight w:hRule="exact" w:val="508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3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72" w:rsidRPr="001872DC" w:rsidTr="0019440C">
        <w:trPr>
          <w:cantSplit/>
          <w:trHeight w:val="529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ind w:firstLine="62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B65372">
                <w:rPr>
                  <w:rFonts w:ascii="Times New Roman" w:eastAsia="Times New Roman" w:hAnsi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B65372" w:rsidRPr="00B65372" w:rsidRDefault="00B65A0E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dmk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loga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="00B65372" w:rsidRPr="00B653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infolugansk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76E773" wp14:editId="3999E4F8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1872DC" w:rsidRDefault="001872DC" w:rsidP="001872DC">
      <w:pPr>
        <w:pStyle w:val="1"/>
        <w:shd w:val="clear" w:color="auto" w:fill="FFFFFF"/>
        <w:spacing w:before="122" w:beforeAutospacing="0" w:after="95" w:afterAutospacing="0"/>
        <w:ind w:right="192"/>
        <w:jc w:val="both"/>
        <w:rPr>
          <w:bCs w:val="0"/>
          <w:color w:val="000000"/>
          <w:sz w:val="28"/>
          <w:szCs w:val="28"/>
        </w:rPr>
      </w:pPr>
      <w:r>
        <w:rPr>
          <w:bCs w:val="0"/>
          <w:color w:val="000000"/>
          <w:sz w:val="28"/>
          <w:szCs w:val="28"/>
        </w:rPr>
        <w:t xml:space="preserve">Юрій Гарбуз привітав з Днем захисника України жителів </w:t>
      </w:r>
      <w:proofErr w:type="spellStart"/>
      <w:r>
        <w:rPr>
          <w:bCs w:val="0"/>
          <w:color w:val="000000"/>
          <w:sz w:val="28"/>
          <w:szCs w:val="28"/>
        </w:rPr>
        <w:t>Міловського</w:t>
      </w:r>
      <w:proofErr w:type="spellEnd"/>
      <w:r>
        <w:rPr>
          <w:bCs w:val="0"/>
          <w:color w:val="000000"/>
          <w:sz w:val="28"/>
          <w:szCs w:val="28"/>
        </w:rPr>
        <w:t xml:space="preserve"> району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Голова Луганської обласної державної адміністрації – керівник обласної військово-цивільної адміністрації Юрій Гарбуз у </w:t>
      </w:r>
      <w:proofErr w:type="spellStart"/>
      <w:r>
        <w:rPr>
          <w:color w:val="000000"/>
          <w:sz w:val="28"/>
          <w:szCs w:val="28"/>
        </w:rPr>
        <w:t>Міловському</w:t>
      </w:r>
      <w:proofErr w:type="spellEnd"/>
      <w:r>
        <w:rPr>
          <w:color w:val="000000"/>
          <w:sz w:val="28"/>
          <w:szCs w:val="28"/>
        </w:rPr>
        <w:t xml:space="preserve"> районі привітав земляків з Днем захисника України.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«Бажаю всім нам сили, витримки та мудрості на шляху до миру, розбудови рідної </w:t>
      </w:r>
      <w:proofErr w:type="spellStart"/>
      <w:r>
        <w:rPr>
          <w:color w:val="000000"/>
          <w:sz w:val="28"/>
          <w:szCs w:val="28"/>
        </w:rPr>
        <w:t>Міловщини</w:t>
      </w:r>
      <w:proofErr w:type="spellEnd"/>
      <w:r>
        <w:rPr>
          <w:color w:val="000000"/>
          <w:sz w:val="28"/>
          <w:szCs w:val="28"/>
        </w:rPr>
        <w:t>, Луганщини й України», – наголосив очільник області.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Цього дня Луганський прикордонний загін презентував сучасну військову техніку – нашу міць і гарантію безпеки державного кордону. Також були проведені показовий виступ службових собак під час затримання порушників на державному кордоні та військово-патріотичні лекції для молоді.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«Зі святом вас, дорогі земляки! Дякую за гостинний прийом!» – підкреслив Юрій Гарбуз.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Крім того, у </w:t>
      </w:r>
      <w:proofErr w:type="spellStart"/>
      <w:r>
        <w:rPr>
          <w:color w:val="000000"/>
          <w:sz w:val="28"/>
          <w:szCs w:val="28"/>
        </w:rPr>
        <w:t>Міловому</w:t>
      </w:r>
      <w:proofErr w:type="spellEnd"/>
      <w:r>
        <w:rPr>
          <w:color w:val="000000"/>
          <w:sz w:val="28"/>
          <w:szCs w:val="28"/>
        </w:rPr>
        <w:t xml:space="preserve"> відбувся святковий концерт до Дня захисника України за участю самодіяльних колективів та окремих виконавців району.</w:t>
      </w:r>
    </w:p>
    <w:p w:rsidR="001872DC" w:rsidRDefault="001872DC" w:rsidP="001872DC">
      <w:pPr>
        <w:jc w:val="center"/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</w:t>
      </w:r>
    </w:p>
    <w:p w:rsidR="001872DC" w:rsidRDefault="001872DC" w:rsidP="001872DC">
      <w:pPr>
        <w:pStyle w:val="1"/>
        <w:shd w:val="clear" w:color="auto" w:fill="FFFFFF"/>
        <w:spacing w:before="122" w:beforeAutospacing="0" w:after="95" w:afterAutospacing="0"/>
        <w:ind w:right="192"/>
        <w:jc w:val="both"/>
        <w:rPr>
          <w:bCs w:val="0"/>
          <w:color w:val="000000"/>
          <w:sz w:val="28"/>
          <w:szCs w:val="28"/>
        </w:rPr>
      </w:pPr>
      <w:r>
        <w:rPr>
          <w:bCs w:val="0"/>
          <w:color w:val="000000"/>
          <w:sz w:val="28"/>
          <w:szCs w:val="28"/>
        </w:rPr>
        <w:t xml:space="preserve">Це маленький крок до розбудови якісного життя і спільної великої перемоги, – Юрій Гарбуз під час відкриття водоводу в </w:t>
      </w:r>
      <w:proofErr w:type="spellStart"/>
      <w:r>
        <w:rPr>
          <w:bCs w:val="0"/>
          <w:color w:val="000000"/>
          <w:sz w:val="28"/>
          <w:szCs w:val="28"/>
        </w:rPr>
        <w:t>Міловому</w:t>
      </w:r>
      <w:proofErr w:type="spellEnd"/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Перебуваючи з робочою поїздкою у </w:t>
      </w:r>
      <w:proofErr w:type="spellStart"/>
      <w:r>
        <w:rPr>
          <w:color w:val="000000"/>
          <w:sz w:val="28"/>
          <w:szCs w:val="28"/>
        </w:rPr>
        <w:t>Міловському</w:t>
      </w:r>
      <w:proofErr w:type="spellEnd"/>
      <w:r>
        <w:rPr>
          <w:color w:val="000000"/>
          <w:sz w:val="28"/>
          <w:szCs w:val="28"/>
        </w:rPr>
        <w:t xml:space="preserve"> районі, голова Луганської обласної державної адміністрації – керівник обласної військово-цивільної адміністрації Юрій Гарбуз узяв участь у відкритті після реконструкції підвідного водоводу від станції 2-го підйому до </w:t>
      </w:r>
      <w:proofErr w:type="spellStart"/>
      <w:r>
        <w:rPr>
          <w:color w:val="000000"/>
          <w:sz w:val="28"/>
          <w:szCs w:val="28"/>
        </w:rPr>
        <w:t>смт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Мілове</w:t>
      </w:r>
      <w:proofErr w:type="spellEnd"/>
      <w:r>
        <w:rPr>
          <w:color w:val="000000"/>
          <w:sz w:val="28"/>
          <w:szCs w:val="28"/>
        </w:rPr>
        <w:t xml:space="preserve"> та розвідної мережі водопостачання.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«З дитинства пам’ятаю проблеми з водою у </w:t>
      </w:r>
      <w:proofErr w:type="spellStart"/>
      <w:r>
        <w:rPr>
          <w:color w:val="000000"/>
          <w:sz w:val="28"/>
          <w:szCs w:val="28"/>
        </w:rPr>
        <w:t>Міловому</w:t>
      </w:r>
      <w:proofErr w:type="spellEnd"/>
      <w:r>
        <w:rPr>
          <w:color w:val="000000"/>
          <w:sz w:val="28"/>
          <w:szCs w:val="28"/>
        </w:rPr>
        <w:t>. Наша водопровідна мережа не ремонтувалася вже півстоліття. І сьогодні ми відкрили водогін від станції 2-го підйому. Це маленький крок до розбудови якісного життя і спільної великої перемоги», – наголосив очільник області.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Водопровідна мережа у </w:t>
      </w:r>
      <w:proofErr w:type="spellStart"/>
      <w:r>
        <w:rPr>
          <w:color w:val="000000"/>
          <w:sz w:val="28"/>
          <w:szCs w:val="28"/>
        </w:rPr>
        <w:t>Міловому</w:t>
      </w:r>
      <w:proofErr w:type="spellEnd"/>
      <w:r>
        <w:rPr>
          <w:color w:val="000000"/>
          <w:sz w:val="28"/>
          <w:szCs w:val="28"/>
        </w:rPr>
        <w:t xml:space="preserve"> експлуатувалася впродовж тривалого часу та капітально не ремонтувалася. Останні 25 років проблема з водопостачанням стояла дуже гостро. За ініціативою Юрія Гарбуза і з метою забезпечення якісного водопостачання та покращення інженерного стану мережі водопроводу з обласного бюджету на його ремонт виділено кошти в сумі 12 </w:t>
      </w:r>
      <w:proofErr w:type="spellStart"/>
      <w:r>
        <w:rPr>
          <w:color w:val="000000"/>
          <w:sz w:val="28"/>
          <w:szCs w:val="28"/>
        </w:rPr>
        <w:t>млн</w:t>
      </w:r>
      <w:proofErr w:type="spellEnd"/>
      <w:r>
        <w:rPr>
          <w:color w:val="000000"/>
          <w:sz w:val="28"/>
          <w:szCs w:val="28"/>
        </w:rPr>
        <w:t xml:space="preserve"> 166 тис. гривень.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Також Юрій Гарбуз зазначив, що сьогодні вода прийде у дома більш ніж 2 тис. </w:t>
      </w:r>
      <w:proofErr w:type="spellStart"/>
      <w:r>
        <w:rPr>
          <w:color w:val="000000"/>
          <w:sz w:val="28"/>
          <w:szCs w:val="28"/>
        </w:rPr>
        <w:t>міловчан</w:t>
      </w:r>
      <w:proofErr w:type="spellEnd"/>
      <w:r>
        <w:rPr>
          <w:color w:val="000000"/>
          <w:sz w:val="28"/>
          <w:szCs w:val="28"/>
        </w:rPr>
        <w:t xml:space="preserve"> – мешканців багатоповерхівок. У наступному році очільник області планує завершити роботу по забезпеченню водою житлового сектору, а після цього займеться ремонтом доріг.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*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*</w:t>
      </w:r>
    </w:p>
    <w:p w:rsidR="001872DC" w:rsidRDefault="001872DC" w:rsidP="001872DC">
      <w:pPr>
        <w:pStyle w:val="1"/>
        <w:shd w:val="clear" w:color="auto" w:fill="FFFFFF"/>
        <w:spacing w:before="122" w:beforeAutospacing="0" w:after="95" w:afterAutospacing="0"/>
        <w:ind w:right="192"/>
        <w:jc w:val="both"/>
        <w:rPr>
          <w:bCs w:val="0"/>
          <w:color w:val="000000"/>
          <w:sz w:val="28"/>
          <w:szCs w:val="28"/>
        </w:rPr>
      </w:pPr>
      <w:r>
        <w:rPr>
          <w:bCs w:val="0"/>
          <w:color w:val="000000"/>
          <w:sz w:val="28"/>
          <w:szCs w:val="28"/>
        </w:rPr>
        <w:t>Юрій Гарбуз: Передавати кошти з обласного бюджету територіям – моя принципова позиція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 жовтня до </w:t>
      </w:r>
      <w:proofErr w:type="spellStart"/>
      <w:r>
        <w:rPr>
          <w:color w:val="000000"/>
          <w:sz w:val="28"/>
          <w:szCs w:val="28"/>
        </w:rPr>
        <w:t>Міловського</w:t>
      </w:r>
      <w:proofErr w:type="spellEnd"/>
      <w:r>
        <w:rPr>
          <w:color w:val="000000"/>
          <w:sz w:val="28"/>
          <w:szCs w:val="28"/>
        </w:rPr>
        <w:t xml:space="preserve"> району з робочою поїздкою завітав голова Луганської обласної державної адміністрації – керівник обласної військово-цивільної адміністрації Юрій Гарбуз.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8"/>
          <w:szCs w:val="28"/>
        </w:rPr>
        <w:t xml:space="preserve">Очільник області взяв участь в урочистій передачі ключів трьом лікарям </w:t>
      </w:r>
      <w:proofErr w:type="spellStart"/>
      <w:r>
        <w:rPr>
          <w:color w:val="000000"/>
          <w:sz w:val="28"/>
          <w:szCs w:val="28"/>
        </w:rPr>
        <w:t>Міловського</w:t>
      </w:r>
      <w:proofErr w:type="spellEnd"/>
      <w:r>
        <w:rPr>
          <w:color w:val="000000"/>
          <w:sz w:val="28"/>
          <w:szCs w:val="28"/>
        </w:rPr>
        <w:t xml:space="preserve"> районного територіального медичного об’єднання і одному – з КЗ «</w:t>
      </w:r>
      <w:proofErr w:type="spellStart"/>
      <w:r>
        <w:rPr>
          <w:color w:val="000000"/>
          <w:sz w:val="28"/>
          <w:szCs w:val="28"/>
        </w:rPr>
        <w:t>Міловський</w:t>
      </w:r>
      <w:proofErr w:type="spellEnd"/>
      <w:r>
        <w:rPr>
          <w:color w:val="000000"/>
          <w:sz w:val="28"/>
          <w:szCs w:val="28"/>
        </w:rPr>
        <w:t xml:space="preserve"> районний центр первинної медико-санітарної допомоги», які перебували у черзі на отримання житла. 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реконструкцію приміщень стоматологічного відділення </w:t>
      </w:r>
      <w:proofErr w:type="spellStart"/>
      <w:r>
        <w:rPr>
          <w:color w:val="000000"/>
          <w:sz w:val="28"/>
          <w:szCs w:val="28"/>
        </w:rPr>
        <w:t>Міловського</w:t>
      </w:r>
      <w:proofErr w:type="spellEnd"/>
      <w:r>
        <w:rPr>
          <w:color w:val="000000"/>
          <w:sz w:val="28"/>
          <w:szCs w:val="28"/>
        </w:rPr>
        <w:t xml:space="preserve"> РТМО під житлові квартири з обласного бюджету виділено 1499,000 тис. гривень. У поточному </w:t>
      </w:r>
      <w:proofErr w:type="spellStart"/>
      <w:r>
        <w:rPr>
          <w:color w:val="000000"/>
          <w:sz w:val="28"/>
          <w:szCs w:val="28"/>
        </w:rPr>
        <w:t>році реконструйовано приміщенн</w:t>
      </w:r>
      <w:proofErr w:type="spellEnd"/>
      <w:r>
        <w:rPr>
          <w:color w:val="000000"/>
          <w:sz w:val="28"/>
          <w:szCs w:val="28"/>
        </w:rPr>
        <w:t>я під чотири однокімнатні квартири площею 27,0 м², 32,4 м², 38,7 м² та 41,4 м².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Серед усіх квартиру отримала і головний лікар </w:t>
      </w:r>
      <w:proofErr w:type="spellStart"/>
      <w:r>
        <w:rPr>
          <w:color w:val="000000"/>
          <w:sz w:val="28"/>
          <w:szCs w:val="28"/>
        </w:rPr>
        <w:t>Міловського</w:t>
      </w:r>
      <w:proofErr w:type="spellEnd"/>
      <w:r>
        <w:rPr>
          <w:color w:val="000000"/>
          <w:sz w:val="28"/>
          <w:szCs w:val="28"/>
        </w:rPr>
        <w:t xml:space="preserve"> РТМО Галина </w:t>
      </w:r>
      <w:proofErr w:type="spellStart"/>
      <w:r>
        <w:rPr>
          <w:color w:val="000000"/>
          <w:sz w:val="28"/>
          <w:szCs w:val="28"/>
        </w:rPr>
        <w:t>Горбаченко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врач-онколог</w:t>
      </w:r>
      <w:proofErr w:type="spellEnd"/>
      <w:r>
        <w:rPr>
          <w:color w:val="000000"/>
          <w:sz w:val="28"/>
          <w:szCs w:val="28"/>
        </w:rPr>
        <w:t xml:space="preserve">, яка переїхала зі </w:t>
      </w:r>
      <w:proofErr w:type="spellStart"/>
      <w:r>
        <w:rPr>
          <w:color w:val="000000"/>
          <w:sz w:val="28"/>
          <w:szCs w:val="28"/>
        </w:rPr>
        <w:t>Старобільського</w:t>
      </w:r>
      <w:proofErr w:type="spellEnd"/>
      <w:r>
        <w:rPr>
          <w:color w:val="000000"/>
          <w:sz w:val="28"/>
          <w:szCs w:val="28"/>
        </w:rPr>
        <w:t xml:space="preserve"> району і очолила лікарню. Також сьогодні їй Юрій Гарбуз вручив медаль «За заслуги перед </w:t>
      </w:r>
      <w:proofErr w:type="spellStart"/>
      <w:r>
        <w:rPr>
          <w:color w:val="000000"/>
          <w:sz w:val="28"/>
          <w:szCs w:val="28"/>
        </w:rPr>
        <w:t>Міловщиною</w:t>
      </w:r>
      <w:proofErr w:type="spellEnd"/>
      <w:r>
        <w:rPr>
          <w:color w:val="000000"/>
          <w:sz w:val="28"/>
          <w:szCs w:val="28"/>
        </w:rPr>
        <w:t>».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Слід зазначити, що спеціалістів-медиків вузького профілю в області зараз не вистачає, а тим паче – онкологів. Зокрема, укомплектованість РТМО складає 72 %.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«Вітаю новосельців і закликаю й надалі працювати для збереження життя і здоров'я земляків. Така практика дасть можливість зберегти дуже потрібні нашим районам медичні кадри, залучити молодих фахівців, покращити сферу охорони здоров’я. Лише за цей рік тільки на </w:t>
      </w:r>
      <w:proofErr w:type="spellStart"/>
      <w:r>
        <w:rPr>
          <w:color w:val="000000"/>
          <w:sz w:val="28"/>
          <w:szCs w:val="28"/>
        </w:rPr>
        <w:t>Міловський</w:t>
      </w:r>
      <w:proofErr w:type="spellEnd"/>
      <w:r>
        <w:rPr>
          <w:color w:val="000000"/>
          <w:sz w:val="28"/>
          <w:szCs w:val="28"/>
        </w:rPr>
        <w:t xml:space="preserve"> район було виділено більше 25 </w:t>
      </w:r>
      <w:proofErr w:type="spellStart"/>
      <w:r>
        <w:rPr>
          <w:color w:val="000000"/>
          <w:sz w:val="28"/>
          <w:szCs w:val="28"/>
        </w:rPr>
        <w:t>млн</w:t>
      </w:r>
      <w:proofErr w:type="spellEnd"/>
      <w:r>
        <w:rPr>
          <w:color w:val="000000"/>
          <w:sz w:val="28"/>
          <w:szCs w:val="28"/>
        </w:rPr>
        <w:t xml:space="preserve"> гривень. Це моя принципова позиція – передавати кошти з обласного бюджету територіям», – наголосив Юрій Гарбуз.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Він зауважив, що реалізація проектів розвитку територій Луганщини продовжуватиметься. Так, очікується виділення квартир для медиків, ремонт об’єктів інфраструктури і доріг, освітлення вулиць тощо.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реконструкцію приміщень стоматологічного відділення </w:t>
      </w:r>
      <w:proofErr w:type="spellStart"/>
      <w:r>
        <w:rPr>
          <w:color w:val="000000"/>
          <w:sz w:val="28"/>
          <w:szCs w:val="28"/>
        </w:rPr>
        <w:t>Міловського</w:t>
      </w:r>
      <w:proofErr w:type="spellEnd"/>
      <w:r>
        <w:rPr>
          <w:color w:val="000000"/>
          <w:sz w:val="28"/>
          <w:szCs w:val="28"/>
        </w:rPr>
        <w:t xml:space="preserve"> РТМО під житлові квартири з обласного бюджету було виділено 1499,000 тис. гривень.  </w:t>
      </w:r>
      <w:proofErr w:type="spellStart"/>
      <w:r>
        <w:rPr>
          <w:color w:val="000000"/>
          <w:sz w:val="28"/>
          <w:szCs w:val="28"/>
        </w:rPr>
        <w:t>Проект реалізо</w:t>
      </w:r>
      <w:proofErr w:type="spellEnd"/>
      <w:r>
        <w:rPr>
          <w:color w:val="000000"/>
          <w:sz w:val="28"/>
          <w:szCs w:val="28"/>
        </w:rPr>
        <w:t>вано на підтримку програми Президента України «Стратегія розвитку сільської медицини» та відповідно до розпорядження голови облдержадміністрації – керівника обласної військово-цивільної адміністрації.</w:t>
      </w:r>
    </w:p>
    <w:p w:rsidR="001872DC" w:rsidRDefault="001872DC" w:rsidP="001872DC">
      <w:pPr>
        <w:shd w:val="clear" w:color="auto" w:fill="FFFFFF"/>
        <w:spacing w:before="122" w:after="95"/>
        <w:ind w:left="1416" w:right="192" w:firstLine="708"/>
        <w:jc w:val="both"/>
        <w:outlineLvl w:val="0"/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</w:pP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lastRenderedPageBreak/>
        <w:t>*</w:t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  <w:t>*</w:t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  <w:t>*</w:t>
      </w:r>
    </w:p>
    <w:p w:rsidR="001872DC" w:rsidRDefault="001872DC" w:rsidP="001872DC">
      <w:pPr>
        <w:pStyle w:val="1"/>
        <w:shd w:val="clear" w:color="auto" w:fill="FFFFFF"/>
        <w:spacing w:before="122" w:beforeAutospacing="0" w:after="95" w:afterAutospacing="0"/>
        <w:ind w:right="192"/>
        <w:jc w:val="both"/>
        <w:rPr>
          <w:bCs w:val="0"/>
          <w:color w:val="000000"/>
          <w:sz w:val="28"/>
          <w:szCs w:val="28"/>
        </w:rPr>
      </w:pPr>
      <w:r>
        <w:rPr>
          <w:bCs w:val="0"/>
          <w:color w:val="000000"/>
          <w:sz w:val="28"/>
          <w:szCs w:val="28"/>
        </w:rPr>
        <w:t>Юрій Гарбуз привітав колектив і пацієнтів 59-го Військового мобільного шпиталю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 прийдешнім Днем Захисника України, яке відзначатиметься завтра, 14 жовтня, колектив і пацієнтів розташованого у </w:t>
      </w:r>
      <w:proofErr w:type="spellStart"/>
      <w:r>
        <w:rPr>
          <w:color w:val="000000"/>
          <w:sz w:val="28"/>
          <w:szCs w:val="28"/>
        </w:rPr>
        <w:t>Сєвєродонецьку</w:t>
      </w:r>
      <w:proofErr w:type="spellEnd"/>
      <w:r>
        <w:rPr>
          <w:color w:val="000000"/>
          <w:sz w:val="28"/>
          <w:szCs w:val="28"/>
        </w:rPr>
        <w:t xml:space="preserve"> 59-го Військового мобільного шпиталю привітав голова Луганської обласної державної адміністрації – керівник обласної військово-цивільної адміністрації Юрій Гарбуз.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«Шановні військові медики! Дякую за врятовані життя наших захисників, за те, що своєю працею і знаннями даруєте надію і цим бережете Україну! – наголосив очільник області та звернувся до пацієнтів закладу. – Дорогі воїни, швидкого вам одужання! Дякую за службу! Миру нам! Слава Україні!»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Також він нагородив обласними відзнаками колектив та працівників 59-го Військового мобільного шпиталю.</w:t>
      </w:r>
    </w:p>
    <w:p w:rsidR="001872DC" w:rsidRDefault="001872DC" w:rsidP="001872DC">
      <w:pPr>
        <w:shd w:val="clear" w:color="auto" w:fill="FFFFFF"/>
        <w:spacing w:before="122" w:after="95"/>
        <w:ind w:left="1416" w:right="192" w:firstLine="708"/>
        <w:jc w:val="both"/>
        <w:outlineLvl w:val="0"/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</w:pP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>*</w:t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  <w:t>*</w:t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  <w:t>*</w:t>
      </w:r>
    </w:p>
    <w:p w:rsidR="001872DC" w:rsidRDefault="001872DC" w:rsidP="001872DC">
      <w:pPr>
        <w:pStyle w:val="1"/>
        <w:shd w:val="clear" w:color="auto" w:fill="FFFFFF"/>
        <w:spacing w:before="122" w:beforeAutospacing="0" w:after="95" w:afterAutospacing="0"/>
        <w:ind w:right="192"/>
        <w:jc w:val="both"/>
        <w:rPr>
          <w:bCs w:val="0"/>
          <w:color w:val="000000"/>
          <w:sz w:val="28"/>
          <w:szCs w:val="28"/>
        </w:rPr>
      </w:pPr>
      <w:r>
        <w:rPr>
          <w:bCs w:val="0"/>
          <w:color w:val="000000"/>
          <w:sz w:val="28"/>
          <w:szCs w:val="28"/>
        </w:rPr>
        <w:t xml:space="preserve">У </w:t>
      </w:r>
      <w:proofErr w:type="spellStart"/>
      <w:r>
        <w:rPr>
          <w:bCs w:val="0"/>
          <w:color w:val="000000"/>
          <w:sz w:val="28"/>
          <w:szCs w:val="28"/>
        </w:rPr>
        <w:t>Сєвєродонецьку</w:t>
      </w:r>
      <w:proofErr w:type="spellEnd"/>
      <w:r>
        <w:rPr>
          <w:bCs w:val="0"/>
          <w:color w:val="000000"/>
          <w:sz w:val="28"/>
          <w:szCs w:val="28"/>
        </w:rPr>
        <w:t xml:space="preserve"> вшанували пам'ять Олександра </w:t>
      </w:r>
      <w:proofErr w:type="spellStart"/>
      <w:r>
        <w:rPr>
          <w:bCs w:val="0"/>
          <w:color w:val="000000"/>
          <w:sz w:val="28"/>
          <w:szCs w:val="28"/>
        </w:rPr>
        <w:t>Радієвського</w:t>
      </w:r>
      <w:proofErr w:type="spellEnd"/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заході на площі Миру біля пам’ятника генерал-майору Національної Гвардії України Олександру </w:t>
      </w:r>
      <w:proofErr w:type="spellStart"/>
      <w:r>
        <w:rPr>
          <w:color w:val="000000"/>
          <w:sz w:val="28"/>
          <w:szCs w:val="28"/>
        </w:rPr>
        <w:t>Радієвському</w:t>
      </w:r>
      <w:proofErr w:type="spellEnd"/>
      <w:r>
        <w:rPr>
          <w:color w:val="000000"/>
          <w:sz w:val="28"/>
          <w:szCs w:val="28"/>
        </w:rPr>
        <w:t xml:space="preserve"> взяв участь голова Луганської обласної державної адміністрації – керівник обласної військово-цивільної адміністрації Юрій Гарбуз.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«Очі дітей, дружин і батьків, які у цій війні втратили найдорожчих, мають стати для всіх нас пересторогою на сотні років. Ми маємо зробити все, щоб ці втрати були не марними.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Дай нам, Боже, мудрості перемогти цинізм і політичні амбіції заради миру. Нехай пам’ять живе вічно – пам’ять про наших Героїв, про генерал-майора Олександра </w:t>
      </w:r>
      <w:proofErr w:type="spellStart"/>
      <w:r>
        <w:rPr>
          <w:color w:val="000000"/>
          <w:sz w:val="28"/>
          <w:szCs w:val="28"/>
        </w:rPr>
        <w:t>Радієвського</w:t>
      </w:r>
      <w:proofErr w:type="spellEnd"/>
      <w:r>
        <w:rPr>
          <w:color w:val="000000"/>
          <w:sz w:val="28"/>
          <w:szCs w:val="28"/>
        </w:rPr>
        <w:t>, про всіх, кого ми гордо називаємо Захисниками України», – наголосив очільник Луганщини.</w:t>
      </w:r>
    </w:p>
    <w:p w:rsidR="001872DC" w:rsidRDefault="001872DC" w:rsidP="001872DC">
      <w:pPr>
        <w:pStyle w:val="a5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покладанні квітів до пам’ятника разом з Юрієм Гарбузом узяли участь його заступники, представники місцевої влади, військовослужбовці, студентська молодь, громадськість.</w:t>
      </w:r>
    </w:p>
    <w:p w:rsidR="001872DC" w:rsidRDefault="001872DC" w:rsidP="001872DC">
      <w:pPr>
        <w:shd w:val="clear" w:color="auto" w:fill="FFFFFF"/>
        <w:spacing w:before="122" w:after="95"/>
        <w:ind w:left="1416" w:right="192" w:firstLine="708"/>
        <w:jc w:val="both"/>
        <w:outlineLvl w:val="0"/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</w:pP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>*</w:t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  <w:t>*</w:t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</w:r>
      <w:r>
        <w:rPr>
          <w:rFonts w:eastAsia="Times New Roman" w:cs="Times New Roman"/>
          <w:b/>
          <w:color w:val="000000"/>
          <w:kern w:val="36"/>
          <w:sz w:val="28"/>
          <w:szCs w:val="28"/>
          <w:lang w:eastAsia="uk-UA"/>
        </w:rPr>
        <w:tab/>
        <w:t>*</w:t>
      </w:r>
    </w:p>
    <w:p w:rsidR="001872DC" w:rsidRPr="00B65A0E" w:rsidRDefault="001872DC" w:rsidP="001872DC">
      <w:pPr>
        <w:shd w:val="clear" w:color="auto" w:fill="FFFFFF"/>
        <w:spacing w:before="122" w:after="95"/>
        <w:ind w:right="192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uk-UA" w:eastAsia="uk-UA"/>
        </w:rPr>
      </w:pPr>
      <w:r w:rsidRPr="00B65A0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uk-UA" w:eastAsia="uk-UA"/>
        </w:rPr>
        <w:t>Юрій Гарбуз: Вшанувати пам’ять тих, хто віддав своє життя за Україну, – священний обов'язок кожного</w:t>
      </w:r>
    </w:p>
    <w:p w:rsidR="001872DC" w:rsidRDefault="001872DC" w:rsidP="001872DC">
      <w:pPr>
        <w:pStyle w:val="rtejustify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 w:rsidRPr="00B65A0E">
        <w:rPr>
          <w:color w:val="000000"/>
          <w:sz w:val="28"/>
          <w:szCs w:val="28"/>
        </w:rPr>
        <w:t>13 жовтня голова Луганської обласної державної адміністрації – керівник обласної військово-цивільної адміністрації Юрій Гарбуз напередодні Дня захисника України відвідав могили чотирьох полеглих учасників антитерористичної операції</w:t>
      </w:r>
      <w:r>
        <w:rPr>
          <w:color w:val="000000"/>
          <w:sz w:val="28"/>
          <w:szCs w:val="28"/>
        </w:rPr>
        <w:t xml:space="preserve"> на кладовищі під </w:t>
      </w:r>
      <w:proofErr w:type="spellStart"/>
      <w:r>
        <w:rPr>
          <w:color w:val="000000"/>
          <w:sz w:val="28"/>
          <w:szCs w:val="28"/>
        </w:rPr>
        <w:t>Сєвєродонецьком</w:t>
      </w:r>
      <w:proofErr w:type="spellEnd"/>
      <w:r>
        <w:rPr>
          <w:color w:val="000000"/>
          <w:sz w:val="28"/>
          <w:szCs w:val="28"/>
        </w:rPr>
        <w:t>.</w:t>
      </w:r>
    </w:p>
    <w:p w:rsidR="001872DC" w:rsidRDefault="001872DC" w:rsidP="001872DC">
      <w:pPr>
        <w:pStyle w:val="rtejustify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Петро Журавльов, який, будучи водієм </w:t>
      </w:r>
      <w:proofErr w:type="spellStart"/>
      <w:r>
        <w:rPr>
          <w:color w:val="000000"/>
          <w:sz w:val="28"/>
          <w:szCs w:val="28"/>
        </w:rPr>
        <w:t>реанімобіля</w:t>
      </w:r>
      <w:proofErr w:type="spellEnd"/>
      <w:r>
        <w:rPr>
          <w:color w:val="000000"/>
          <w:sz w:val="28"/>
          <w:szCs w:val="28"/>
        </w:rPr>
        <w:t xml:space="preserve"> військового шпиталю, рятував життя побратимів. На жаль, його не змогли врятувати.</w:t>
      </w:r>
    </w:p>
    <w:p w:rsidR="001872DC" w:rsidRDefault="001872DC" w:rsidP="001872DC">
      <w:pPr>
        <w:pStyle w:val="rtejustify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Олександр </w:t>
      </w:r>
      <w:proofErr w:type="spellStart"/>
      <w:r>
        <w:rPr>
          <w:color w:val="000000"/>
          <w:sz w:val="28"/>
          <w:szCs w:val="28"/>
        </w:rPr>
        <w:t>Пульний</w:t>
      </w:r>
      <w:proofErr w:type="spellEnd"/>
      <w:r>
        <w:rPr>
          <w:color w:val="000000"/>
          <w:sz w:val="28"/>
          <w:szCs w:val="28"/>
        </w:rPr>
        <w:t xml:space="preserve"> – «Батя», як його за уважне ставлення до кожного називали товариші 53-ї ОМБР.</w:t>
      </w:r>
    </w:p>
    <w:p w:rsidR="001872DC" w:rsidRDefault="001872DC" w:rsidP="001872DC">
      <w:pPr>
        <w:pStyle w:val="rtejustify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Артем </w:t>
      </w:r>
      <w:proofErr w:type="spellStart"/>
      <w:r>
        <w:rPr>
          <w:color w:val="000000"/>
          <w:sz w:val="28"/>
          <w:szCs w:val="28"/>
        </w:rPr>
        <w:t>Шинковенко</w:t>
      </w:r>
      <w:proofErr w:type="spellEnd"/>
      <w:r>
        <w:rPr>
          <w:color w:val="000000"/>
          <w:sz w:val="28"/>
          <w:szCs w:val="28"/>
        </w:rPr>
        <w:t xml:space="preserve">, наш наймолодший полеглий в АТО </w:t>
      </w:r>
      <w:proofErr w:type="spellStart"/>
      <w:r>
        <w:rPr>
          <w:color w:val="000000"/>
          <w:sz w:val="28"/>
          <w:szCs w:val="28"/>
        </w:rPr>
        <w:t>сєвєродончанин</w:t>
      </w:r>
      <w:proofErr w:type="spellEnd"/>
      <w:r>
        <w:rPr>
          <w:color w:val="000000"/>
          <w:sz w:val="28"/>
          <w:szCs w:val="28"/>
        </w:rPr>
        <w:t xml:space="preserve">. Сам був сиротою, виховували бабуся і дідусь. Сьогодні вони виховують маленького сина Артема </w:t>
      </w:r>
      <w:r w:rsidR="00B65A0E">
        <w:rPr>
          <w:color w:val="000000"/>
          <w:sz w:val="28"/>
          <w:szCs w:val="28"/>
          <w:lang w:val="ru-RU"/>
        </w:rPr>
        <w:t xml:space="preserve">– </w:t>
      </w:r>
      <w:bookmarkStart w:id="0" w:name="_GoBack"/>
      <w:bookmarkEnd w:id="0"/>
      <w:proofErr w:type="spellStart"/>
      <w:r>
        <w:rPr>
          <w:color w:val="000000"/>
          <w:sz w:val="28"/>
          <w:szCs w:val="28"/>
        </w:rPr>
        <w:t>Єлізара</w:t>
      </w:r>
      <w:proofErr w:type="spellEnd"/>
      <w:r>
        <w:rPr>
          <w:color w:val="000000"/>
          <w:sz w:val="28"/>
          <w:szCs w:val="28"/>
        </w:rPr>
        <w:t>.</w:t>
      </w:r>
    </w:p>
    <w:p w:rsidR="001872DC" w:rsidRDefault="001872DC" w:rsidP="001872DC">
      <w:pPr>
        <w:pStyle w:val="rtejustify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Микола Литовко разом з побратимами загинув під мінометним обстрілом.</w:t>
      </w:r>
    </w:p>
    <w:p w:rsidR="001872DC" w:rsidRDefault="001872DC" w:rsidP="001872DC">
      <w:pPr>
        <w:pStyle w:val="rtejustify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«Вшанувати пам’ять тих, хто віддав своє життя за Україну, – священний обов'язок кожного. Вічна шана і світла пам'ять Героям!» – наголосив Юрій Гарбуз.</w:t>
      </w:r>
    </w:p>
    <w:p w:rsidR="001872DC" w:rsidRDefault="001872DC" w:rsidP="001872DC">
      <w:pPr>
        <w:pStyle w:val="rtejustify"/>
        <w:shd w:val="clear" w:color="auto" w:fill="FFFFFF"/>
        <w:spacing w:before="0" w:beforeAutospacing="0" w:after="13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Зазначимо, що цими днями по всій області проходять меморіальні заходи – відвідування місць поховання загиблих воїнів АТО.</w:t>
      </w:r>
    </w:p>
    <w:p w:rsidR="001872DC" w:rsidRPr="001872DC" w:rsidRDefault="001872DC" w:rsidP="001872DC">
      <w:pPr>
        <w:shd w:val="clear" w:color="auto" w:fill="FFFFFF"/>
        <w:spacing w:before="122" w:after="95"/>
        <w:ind w:right="192"/>
        <w:jc w:val="both"/>
        <w:outlineLvl w:val="0"/>
        <w:rPr>
          <w:rFonts w:eastAsia="Times New Roman" w:cs="Times New Roman"/>
          <w:b/>
          <w:color w:val="000000"/>
          <w:kern w:val="36"/>
          <w:sz w:val="28"/>
          <w:szCs w:val="28"/>
          <w:lang w:val="uk-UA" w:eastAsia="uk-UA"/>
        </w:rPr>
      </w:pPr>
    </w:p>
    <w:p w:rsidR="001872DC" w:rsidRPr="001872DC" w:rsidRDefault="001872DC" w:rsidP="001872DC">
      <w:pPr>
        <w:jc w:val="both"/>
        <w:rPr>
          <w:rFonts w:eastAsia="Droid Sans Fallback" w:cs="Times New Roman"/>
          <w:kern w:val="2"/>
          <w:sz w:val="28"/>
          <w:szCs w:val="28"/>
          <w:lang w:val="uk-UA" w:eastAsia="zh-CN" w:bidi="hi-IN"/>
        </w:rPr>
      </w:pPr>
    </w:p>
    <w:p w:rsidR="00286511" w:rsidRPr="00836195" w:rsidRDefault="00286511" w:rsidP="001872D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86511" w:rsidRPr="0083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E0"/>
    <w:rsid w:val="00017C8F"/>
    <w:rsid w:val="000D0902"/>
    <w:rsid w:val="001004B3"/>
    <w:rsid w:val="0011100D"/>
    <w:rsid w:val="001872DC"/>
    <w:rsid w:val="00286511"/>
    <w:rsid w:val="002C5714"/>
    <w:rsid w:val="00395859"/>
    <w:rsid w:val="00423B10"/>
    <w:rsid w:val="007465E0"/>
    <w:rsid w:val="00781554"/>
    <w:rsid w:val="007F2AAD"/>
    <w:rsid w:val="00821410"/>
    <w:rsid w:val="00836195"/>
    <w:rsid w:val="008F531B"/>
    <w:rsid w:val="00AE2C41"/>
    <w:rsid w:val="00B65372"/>
    <w:rsid w:val="00B65A0E"/>
    <w:rsid w:val="00BD2C81"/>
    <w:rsid w:val="00D23F9E"/>
    <w:rsid w:val="00DB68A1"/>
    <w:rsid w:val="00F6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lugansk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mk@loga.gov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2017-07-28T07:57:00Z</cp:lastPrinted>
  <dcterms:created xsi:type="dcterms:W3CDTF">2017-07-28T07:42:00Z</dcterms:created>
  <dcterms:modified xsi:type="dcterms:W3CDTF">2017-10-13T14:23:00Z</dcterms:modified>
</cp:coreProperties>
</file>